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Hardegarijp (Hurdegaryp) / 1879</w:t>
      </w:r>
    </w:p>
    <w:p>
      <w:pPr>
        <w:pStyle w:val="Heading2"/>
        <w:rPr>
          <w:i w:val="false"/>
          <w:i w:val="false"/>
          <w:iCs/>
        </w:rPr>
      </w:pPr>
      <w:r>
        <w:rPr>
          <w:i w:val="false"/>
          <w:iCs/>
        </w:rPr>
        <w:t>De Hofkerk</w:t>
      </w:r>
    </w:p>
    <w:p>
      <w:pPr>
        <w:pStyle w:val="T1"/>
        <w:jc w:val="start"/>
        <w:rPr>
          <w:i/>
          <w:i/>
          <w:iCs/>
          <w:lang w:val="nl-NL"/>
        </w:rPr>
      </w:pPr>
      <w:r>
        <w:rPr>
          <w:i/>
          <w:iCs/>
          <w:lang w:val="nl-NL"/>
        </w:rPr>
      </w:r>
    </w:p>
    <w:p>
      <w:pPr>
        <w:pStyle w:val="T1"/>
        <w:jc w:val="start"/>
        <w:rPr>
          <w:lang w:val="nl-NL"/>
        </w:rPr>
      </w:pPr>
      <w:r>
        <w:rPr>
          <w:i/>
          <w:iCs/>
          <w:lang w:val="nl-NL"/>
        </w:rPr>
        <w:t>Driezijdig gesloten zaalkerk uit 1711 met houten toren boven de ingang. Rijk gesneden preekstoel uit het begin van de 18e eeuw met evangelistensymbolen.</w:t>
      </w:r>
    </w:p>
    <w:p>
      <w:pPr>
        <w:pStyle w:val="T1"/>
        <w:jc w:val="start"/>
        <w:rPr>
          <w:lang w:val="nl-NL"/>
        </w:rPr>
      </w:pPr>
      <w:r>
        <w:rPr>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van de gebroeders Van Oeckelen heeft, evenals dat in Den Andel (1879), een front dat een variatie is op een door hun vader ontwikkeld model. Dit was weer een variant van het model Maurik uit 1867 (deel 1865-1872, 117-119) en is door Petrus van Oeckelen toegepast bij de in 1876 gebouwde orgels in Burum en Noordlaren (deel 1872-1878, 261-262, 291-292).</w:t>
      </w:r>
    </w:p>
    <w:p>
      <w:pPr>
        <w:pStyle w:val="T2Kunst"/>
        <w:jc w:val="start"/>
        <w:rPr>
          <w:lang w:val="nl-NL"/>
        </w:rPr>
      </w:pPr>
      <w:r>
        <w:rPr>
          <w:lang w:val="nl-NL"/>
        </w:rPr>
        <w:t>Het front in Hardegarijp wijkt in meerdere opzichten van het prototype af. Het voornaamste verschil is dat de torenvelden veel breder zijn en worden gedeeld door middel van schuin naar buiten aflopende lijsten. Zij worden van de tussenvelden gescheiden door één pijp, die hier als zuil wordt behandeld, inclusief kapiteel en verkropte bovenlijst. Dit zullen de gebroeders herhalen in Veessen (1882) en Rockanje (1884). Een ander opvallend trekje is de sterk verhoogde frontstok in de middentoren. In Noordlaren hadden de middentoren met zijn torenvelden en de zijtorens ten opzichte van de tussenvelden iets verhoogde pijpstokken. In Den Andel zijn verhoogde frontstokken nergens toegepast. In Hardegarijp is dit alleen bij de middentoren het geval. In het basement van de toren zijn cannelures aangebracht. Dit zullen de gebroeders Van Oeckelen later nog regelmatig toepassen. De tussenvelden zijn ook gedeeld door een schuin geplaatste lijst, die echter niet bij de scheidingslijst van de torenvelden aansluit en bovendien naar buiten oploopt, tegengesteld dus aan de torenvelden. Opmerkelijk is verder dat de zijtorens spits zijn.</w:t>
      </w:r>
    </w:p>
    <w:p>
      <w:pPr>
        <w:pStyle w:val="T2Kunst"/>
        <w:jc w:val="start"/>
        <w:rPr>
          <w:lang w:val="nl-NL"/>
        </w:rPr>
      </w:pPr>
      <w:r>
        <w:rPr>
          <w:lang w:val="nl-NL"/>
        </w:rPr>
        <w:t>De decoratie draagt uitgesproken Van Oeckelen-kenmerken. Men lette op de decoratie van de scheidingslijsten in de velden met golfranken en een breed plantaardig motief met centraal element. Verder ziet men bladtakken en rankwerk. De bovenetages van de tussenvelden worden afgesloten door een draperie die aan de buitenzijden over het pijpwerk hangt. Elk vleugelstuk bestaat uit een S-rank die zich die zich op gecompliceerde wijze vertakt en waarin muziekinstrumenten zijn opgenomen.</w:t>
      </w:r>
    </w:p>
    <w:p>
      <w:pPr>
        <w:pStyle w:val="T2Kunst"/>
        <w:jc w:val="start"/>
        <w:rPr>
          <w:lang w:val="nl-NL"/>
        </w:rPr>
      </w:pPr>
      <w:r>
        <w:rPr>
          <w:lang w:val="nl-NL"/>
        </w:rPr>
        <w:t>Op de torenvelden is nog enig rankwerk aangebracht. Op de middentoren is een lier te zien. De beeldjes op de zijtorens zijn helaas verdwenen. In plaats hiervan zijn eenvoudige ornamenten van een herenbank uit de kerk aangebracht.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155, 192.</w:t>
      </w:r>
    </w:p>
    <w:p>
      <w:pPr>
        <w:pStyle w:val="T3Lit"/>
        <w:jc w:val="start"/>
        <w:rPr/>
      </w:pPr>
      <w:r>
        <w:rPr>
          <w:i/>
          <w:iCs/>
          <w:lang w:val="nl-NL"/>
        </w:rPr>
        <w:t>Kerkelijke Courant</w:t>
      </w:r>
      <w:r>
        <w:rPr>
          <w:lang w:val="nl-NL"/>
        </w:rPr>
        <w:t>, 33/49 (1879).</w:t>
      </w:r>
    </w:p>
    <w:p>
      <w:pPr>
        <w:pStyle w:val="T3Lit"/>
        <w:jc w:val="start"/>
        <w:rPr/>
      </w:pPr>
      <w:r>
        <w:rPr>
          <w:i/>
          <w:lang w:val="nl-NL"/>
        </w:rPr>
        <w:t>Het Orgel</w:t>
      </w:r>
      <w:r>
        <w:rPr>
          <w:lang w:val="nl-NL"/>
        </w:rPr>
        <w:t>, 63/6 (1967), 156.</w:t>
      </w:r>
    </w:p>
    <w:p>
      <w:pPr>
        <w:pStyle w:val="T3Lit"/>
        <w:jc w:val="start"/>
        <w:rPr/>
      </w:pPr>
      <w:r>
        <w:rPr>
          <w:i/>
          <w:iCs/>
          <w:lang w:val="nl-NL"/>
        </w:rPr>
        <w:t>Stemmen voor Waarheid en Vrede</w:t>
      </w:r>
      <w:r>
        <w:rPr>
          <w:lang w:val="nl-NL"/>
        </w:rPr>
        <w:t>, 1880/II, 137.</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A. Bouman, </w:t>
      </w:r>
      <w:r>
        <w:rPr>
          <w:i/>
          <w:iCs/>
          <w:lang w:val="nl-NL"/>
        </w:rPr>
        <w:t>Dispositiecahier VI</w:t>
      </w:r>
      <w:r>
        <w:rPr>
          <w:lang w:val="nl-NL"/>
        </w:rPr>
        <w:t>.</w:t>
      </w:r>
    </w:p>
    <w:p>
      <w:pPr>
        <w:pStyle w:val="T3Lit"/>
        <w:jc w:val="start"/>
        <w:rPr>
          <w:lang w:val="nl-NL"/>
        </w:rPr>
      </w:pPr>
      <w:r>
        <w:rPr>
          <w:lang w:val="nl-NL"/>
        </w:rPr>
        <w:t>Archief Orgelmakerij Bakker &amp; Timmenga.</w:t>
      </w:r>
    </w:p>
    <w:p>
      <w:pPr>
        <w:pStyle w:val="T3Lit"/>
        <w:jc w:val="start"/>
        <w:rPr>
          <w:lang w:val="nl-NL"/>
        </w:rPr>
      </w:pPr>
      <w:r>
        <w:rPr>
          <w:lang w:val="nl-NL"/>
        </w:rPr>
        <w:t>Orgelarchief Klaas Bolt.</w:t>
      </w:r>
    </w:p>
    <w:p>
      <w:pPr>
        <w:pStyle w:val="T3Lit"/>
        <w:jc w:val="start"/>
        <w:rPr>
          <w:lang w:val="nl-NL"/>
        </w:rPr>
      </w:pPr>
      <w:r>
        <w:rPr>
          <w:lang w:val="nl-NL"/>
        </w:rPr>
        <w:t>Orgelarchief Lambert Erné.</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Monumentnummer 35655</w:t>
      </w:r>
    </w:p>
    <w:p>
      <w:pPr>
        <w:pStyle w:val="T3Lit"/>
        <w:jc w:val="start"/>
        <w:rPr>
          <w:lang w:val="nl-NL"/>
        </w:rPr>
      </w:pPr>
      <w:r>
        <w:rPr>
          <w:lang w:val="nl-NL"/>
        </w:rPr>
        <w:t>Orgelnummer 597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1879</w:t>
      </w:r>
    </w:p>
    <w:p>
      <w:pPr>
        <w:pStyle w:val="T1"/>
        <w:jc w:val="start"/>
        <w:rPr>
          <w:lang w:val="nl-NL"/>
        </w:rPr>
      </w:pPr>
      <w:r>
        <w:rPr>
          <w:lang w:val="nl-NL"/>
        </w:rPr>
      </w:r>
    </w:p>
    <w:p>
      <w:pPr>
        <w:pStyle w:val="T1"/>
        <w:jc w:val="start"/>
        <w:rPr>
          <w:lang w:val="nl-NL"/>
        </w:rPr>
      </w:pPr>
      <w:r>
        <w:rPr>
          <w:lang w:val="nl-NL"/>
        </w:rPr>
        <w:t>Bakker &amp; Timmenga 1905</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Vóór 1967</w:t>
      </w:r>
    </w:p>
    <w:p>
      <w:pPr>
        <w:pStyle w:val="T1"/>
        <w:jc w:val="start"/>
        <w:rPr>
          <w:lang w:val="nl-NL"/>
        </w:rPr>
      </w:pPr>
      <w:r>
        <w:rPr>
          <w:lang w:val="nl-NL"/>
        </w:rPr>
        <w:t xml:space="preserve">. </w:t>
        <w:tab/>
        <w:t>tremulant toegevoegd</w:t>
      </w:r>
    </w:p>
    <w:p>
      <w:pPr>
        <w:pStyle w:val="T1"/>
        <w:jc w:val="start"/>
        <w:rPr>
          <w:lang w:val="nl-NL"/>
        </w:rPr>
      </w:pPr>
      <w:r>
        <w:rPr>
          <w:lang w:val="nl-NL"/>
        </w:rPr>
      </w:r>
    </w:p>
    <w:p>
      <w:pPr>
        <w:pStyle w:val="T1"/>
        <w:jc w:val="start"/>
        <w:rPr>
          <w:lang w:val="nl-NL"/>
        </w:rPr>
      </w:pPr>
      <w:r>
        <w:rPr>
          <w:lang w:val="nl-NL"/>
        </w:rPr>
        <w:t>Orgelmakerij Bakker &amp; Timmenga 1967</w:t>
      </w:r>
    </w:p>
    <w:p>
      <w:pPr>
        <w:pStyle w:val="T1"/>
        <w:jc w:val="start"/>
        <w:rPr>
          <w:lang w:val="nl-NL"/>
        </w:rPr>
      </w:pPr>
      <w:r>
        <w:rPr>
          <w:lang w:val="nl-NL"/>
        </w:rPr>
        <w:t>.</w:t>
        <w:tab/>
        <w:t>restauratie</w:t>
      </w:r>
    </w:p>
    <w:p>
      <w:pPr>
        <w:pStyle w:val="T1"/>
        <w:jc w:val="start"/>
        <w:rPr>
          <w:lang w:val="nl-NL"/>
        </w:rPr>
      </w:pPr>
      <w:r>
        <w:rPr>
          <w:lang w:val="nl-NL"/>
        </w:rPr>
        <w:t>.</w:t>
        <w:tab/>
        <w:t>- Salicionaal 8, + Mixtuur 2-3 st.</w:t>
      </w:r>
    </w:p>
    <w:p>
      <w:pPr>
        <w:pStyle w:val="T1"/>
        <w:jc w:val="start"/>
        <w:rPr>
          <w:lang w:val="nl-NL"/>
        </w:rPr>
      </w:pPr>
      <w:r>
        <w:rPr>
          <w:lang w:val="nl-NL"/>
        </w:rPr>
        <w:t>.</w:t>
        <w:tab/>
        <w:t>deling B/D gewijzigd van c/cis in d/dis</w:t>
      </w:r>
    </w:p>
    <w:p>
      <w:pPr>
        <w:pStyle w:val="T1"/>
        <w:jc w:val="start"/>
        <w:rPr>
          <w:lang w:val="nl-NL"/>
        </w:rPr>
      </w:pPr>
      <w:r>
        <w:rPr>
          <w:lang w:val="nl-NL"/>
        </w:rPr>
      </w:r>
    </w:p>
    <w:p>
      <w:pPr>
        <w:pStyle w:val="T1"/>
        <w:jc w:val="start"/>
        <w:rPr>
          <w:lang w:val="nl-NL"/>
        </w:rPr>
      </w:pPr>
      <w:r>
        <w:rPr>
          <w:lang w:val="nl-NL"/>
        </w:rPr>
        <w:t>1981</w:t>
      </w:r>
    </w:p>
    <w:p>
      <w:pPr>
        <w:pStyle w:val="T1"/>
        <w:jc w:val="start"/>
        <w:rPr>
          <w:lang w:val="nl-NL"/>
        </w:rPr>
      </w:pPr>
      <w:r>
        <w:rPr>
          <w:lang w:val="nl-NL"/>
        </w:rPr>
        <w:t>.</w:t>
        <w:tab/>
        <w:t>orgel binnen kerkgebouw verplaatst</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beelden op zijtorens verdwenen</w:t>
      </w:r>
    </w:p>
    <w:p>
      <w:pPr>
        <w:pStyle w:val="T1"/>
        <w:jc w:val="start"/>
        <w:rPr>
          <w:lang w:val="nl-NL"/>
        </w:rPr>
      </w:pPr>
      <w:r>
        <w:rPr>
          <w:lang w:val="nl-NL"/>
        </w:rPr>
      </w:r>
    </w:p>
    <w:p>
      <w:pPr>
        <w:pStyle w:val="T1"/>
        <w:jc w:val="start"/>
        <w:rPr>
          <w:lang w:val="nl-NL"/>
        </w:rPr>
      </w:pPr>
      <w:r>
        <w:rPr>
          <w:lang w:val="nl-NL"/>
        </w:rPr>
        <w:t>2003</w:t>
      </w:r>
    </w:p>
    <w:p>
      <w:pPr>
        <w:pStyle w:val="T1"/>
        <w:jc w:val="start"/>
        <w:rPr>
          <w:lang w:val="nl-NL"/>
        </w:rPr>
      </w:pPr>
      <w:r>
        <w:rPr>
          <w:lang w:val="nl-NL"/>
        </w:rPr>
        <w:t>.</w:t>
        <w:tab/>
        <w:t>kas en snijwerk opnieuw geschilderd in andere kleurstelling</w:t>
      </w:r>
    </w:p>
    <w:p>
      <w:pPr>
        <w:pStyle w:val="T1"/>
        <w:jc w:val="start"/>
        <w:rPr>
          <w:lang w:val="nl-NL"/>
        </w:rPr>
      </w:pPr>
      <w:r>
        <w:rPr>
          <w:lang w:val="nl-NL"/>
        </w:rPr>
        <w:t>.</w:t>
        <w:tab/>
        <w:t>bekroningen van een herenbank uit het kerkgebouw op de zijtorens geplaatst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562" w:type="dxa"/>
        <w:jc w:val="start"/>
        <w:tblInd w:w="0" w:type="dxa"/>
        <w:tblLayout w:type="fixed"/>
        <w:tblCellMar>
          <w:top w:w="0" w:type="dxa"/>
          <w:start w:w="70" w:type="dxa"/>
          <w:bottom w:w="0" w:type="dxa"/>
          <w:end w:w="70" w:type="dxa"/>
        </w:tblCellMar>
      </w:tblPr>
      <w:tblGrid>
        <w:gridCol w:w="1737"/>
        <w:gridCol w:w="825"/>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Woudfluit</w:t>
            </w:r>
          </w:p>
          <w:p>
            <w:pPr>
              <w:pStyle w:val="T4dispositie"/>
              <w:jc w:val="start"/>
              <w:rPr>
                <w:lang w:val="nl-NL"/>
              </w:rPr>
            </w:pPr>
            <w:r>
              <w:rPr>
                <w:lang w:val="nl-NL"/>
              </w:rPr>
              <w:t>Mixtuur</w:t>
            </w:r>
          </w:p>
          <w:p>
            <w:pPr>
              <w:pStyle w:val="T4dispositie"/>
              <w:jc w:val="start"/>
              <w:rPr>
                <w:lang w:val="nl-NL"/>
              </w:rPr>
            </w:pPr>
            <w:r>
              <w:rPr>
                <w:lang w:val="nl-NL"/>
              </w:rPr>
              <w:t>Trompet B/D</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2-3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0" w:type="dxa"/>
        <w:tblLayout w:type="fixed"/>
        <w:tblCellMar>
          <w:top w:w="0" w:type="dxa"/>
          <w:start w:w="70" w:type="dxa"/>
          <w:bottom w:w="0" w:type="dxa"/>
          <w:end w:w="70" w:type="dxa"/>
        </w:tblCellMar>
      </w:tblPr>
      <w:tblGrid>
        <w:gridCol w:w="1023"/>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441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regulateurbalg en handpomp (1879)</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d en dis.</w:t>
      </w:r>
    </w:p>
    <w:p>
      <w:pPr>
        <w:pStyle w:val="T1"/>
        <w:jc w:val="start"/>
        <w:rPr/>
      </w:pPr>
      <w:r>
        <w:rPr>
          <w:lang w:val="nl-NL"/>
        </w:rPr>
        <w:t xml:space="preserve">In </w:t>
      </w:r>
      <w:r>
        <w:rPr>
          <w:i/>
          <w:iCs/>
          <w:lang w:val="nl-NL"/>
        </w:rPr>
        <w:t>Stemmen voor Waarheid en Vrede</w:t>
      </w:r>
      <w:r>
        <w:rPr>
          <w:lang w:val="nl-NL"/>
        </w:rPr>
        <w:t xml:space="preserve"> van 30 november 1880 wordt melding gemaakt van een </w:t>
      </w:r>
      <w:r>
        <w:rPr>
          <w:i/>
          <w:iCs/>
          <w:lang w:val="nl-NL"/>
        </w:rPr>
        <w:t>nieuw, smaakvol bewerkt orgel</w:t>
      </w:r>
      <w:r>
        <w:rPr>
          <w:lang w:val="nl-NL"/>
        </w:rPr>
        <w:t xml:space="preserve"> dat op 30 november 1879 in gebruik is genomen.</w:t>
      </w:r>
    </w:p>
    <w:p>
      <w:pPr>
        <w:pStyle w:val="T1"/>
        <w:jc w:val="start"/>
        <w:rPr/>
      </w:pPr>
      <w:r>
        <w:rPr/>
        <w:t xml:space="preserve">De registerknoppen zijn in een horizontale rij boven de muzieklessenaar geplaatst. De porseleinen naamplaatjes zijn aan de voorzijde van de registerknoppen aangebracht. De plaatjes voor de Mixtuur en de Tremulant zijn niet origineel. </w:t>
      </w:r>
      <w:r>
        <w:rPr>
          <w:lang w:val="nl-NL"/>
        </w:rPr>
        <w:t>De bakstukken zijn volgens het bij Van Oeckelen gebruikelijke model, rechthoekig met ebbenhouten beleg op de randen en ivoren tussendelen. De toetsfrontons zijn met een ebbenhouten nageltje vastgezet.</w:t>
      </w:r>
    </w:p>
    <w:p>
      <w:pPr>
        <w:pStyle w:val="T1"/>
        <w:jc w:val="start"/>
        <w:rPr>
          <w:lang w:val="nl-NL"/>
        </w:rPr>
      </w:pPr>
      <w:r>
        <w:rPr>
          <w:lang w:val="nl-NL"/>
        </w:rPr>
        <w:t>Het ondergedeelte van de achterwand is uitgebouwd ten behoeve van de magazijnbalg, zodat de handpomp voor de schepbalgen naast de klaviatuur kon worden geplaatst.</w:t>
      </w:r>
    </w:p>
    <w:p>
      <w:pPr>
        <w:pStyle w:val="T1"/>
        <w:jc w:val="start"/>
        <w:rPr>
          <w:lang w:val="nl-NL"/>
        </w:rPr>
      </w:pPr>
      <w:r>
        <w:rPr>
          <w:lang w:val="nl-NL"/>
        </w:rPr>
        <w:t>De windlade is gedeeld in een C- en een Cis-zijde; het pijpwerk staat in grootte aflopend vanuit het midden naar weerszijden opgesteld. Ten behoeve van de in 1967 (onder protest van de restaurateur) geplaatste Mixtuur is de indeling van de lade gewijzigd. De Fluit 4' werd verplaatst naar de stok van de (verwijderde) Salicionaal 8', de Woudfluit 2' verhuisde naar de stok van (voordien) de Fluit 4' en de Mixtuur kreeg een plaats op de oorspronkelijke stok van de Woudfluit 2'.</w:t>
      </w:r>
    </w:p>
    <w:p>
      <w:pPr>
        <w:pStyle w:val="T1"/>
        <w:jc w:val="start"/>
        <w:rPr/>
      </w:pPr>
      <w:r>
        <w:rPr>
          <w:lang w:val="nl-NL"/>
        </w:rPr>
        <w:t>De Prestant 8' staat van C tot f</w:t>
      </w:r>
      <w:r>
        <w:rPr>
          <w:vertAlign w:val="superscript"/>
          <w:lang w:val="nl-NL"/>
        </w:rPr>
        <w:t>1</w:t>
      </w:r>
      <w:r>
        <w:rPr>
          <w:lang w:val="nl-NL"/>
        </w:rPr>
        <w:t xml:space="preserve"> in het front opgesteld. Houten (eiken) pijpwerk bevindt zich in de Bourdon 16' (C-h) en de Holpijp 8' (C-H). De Viola di Gamba 8' is van C-H gecombineerd met de Holpijp 8'. De Fluit 4' is van C-h</w:t>
      </w:r>
      <w:r>
        <w:rPr>
          <w:vertAlign w:val="superscript"/>
          <w:lang w:val="nl-NL"/>
        </w:rPr>
        <w:t>1</w:t>
      </w:r>
      <w:r>
        <w:rPr>
          <w:lang w:val="nl-NL"/>
        </w:rPr>
        <w:t xml:space="preserve"> gedekt, vanaf c</w:t>
      </w:r>
      <w:r>
        <w:rPr>
          <w:vertAlign w:val="superscript"/>
          <w:lang w:val="nl-NL"/>
        </w:rPr>
        <w:t>2</w:t>
      </w:r>
      <w:r>
        <w:rPr>
          <w:lang w:val="nl-NL"/>
        </w:rPr>
        <w:t xml:space="preserve"> open, conisch. De Quint 3' is open, conisch en heeft (enge) fluitmensuur. De Woudfluit 2' is open, cilindrisch. De Trompet 8' heeft als gebruikelijk bij Van Oeckelen metalen stevels met een messing band aan de bovenzijde, loden koppen, messing kelen en tongen, en (wijde) metalen bekers.</w:t>
      </w:r>
    </w:p>
    <w:p>
      <w:pPr>
        <w:pStyle w:val="T1"/>
        <w:jc w:val="start"/>
        <w:rPr/>
      </w:pPr>
      <w:r>
        <w:rPr>
          <w:lang w:val="nl-NL"/>
        </w:rPr>
        <w:t>Expressions zijn aangebracht in de Prestant 8' (C-h</w:t>
      </w:r>
      <w:r>
        <w:rPr>
          <w:vertAlign w:val="superscript"/>
          <w:lang w:val="nl-NL"/>
        </w:rPr>
        <w:t>2</w:t>
      </w:r>
      <w:r>
        <w:rPr>
          <w:lang w:val="nl-NL"/>
        </w:rPr>
        <w:t>; vervolg op lengte afgesneden), de Viola di Gamba 8' (c-e</w:t>
      </w:r>
      <w:r>
        <w:rPr>
          <w:vertAlign w:val="superscript"/>
          <w:lang w:val="nl-NL"/>
        </w:rPr>
        <w:t>2</w:t>
      </w:r>
      <w:r>
        <w:rPr>
          <w:lang w:val="nl-NL"/>
        </w:rPr>
        <w:t>; het vervolg heeft een stemkrul), de Quint(fluit) 3' (C-f; vervolg op lengte afgesneden) en de Woudfluit 2' (C-h; vervolg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2">
    <w:name w:val="inhopg 2"/>
    <w:basedOn w:val="Normal"/>
    <w:qFormat/>
    <w:pPr>
      <w:tabs>
        <w:tab w:val="clear" w:pos="708"/>
        <w:tab w:val="right" w:pos="9360" w:leader="dot"/>
      </w:tabs>
      <w:autoSpaceDE w:val="false"/>
      <w:spacing w:lineRule="atLeast" w:line="240"/>
      <w:ind w:start="144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2006-04-25T12:36:00Z</dcterms:created>
  <dc:creator>WS1</dc:creator>
  <dc:description/>
  <dc:language>en-US</dc:language>
  <cp:lastModifiedBy>WS1</cp:lastModifiedBy>
  <dcterms:modified xsi:type="dcterms:W3CDTF">2006-04-25T12:36:00Z</dcterms:modified>
  <cp:revision>2</cp:revision>
  <dc:subject/>
  <dc:title>Hardegarijp (Hurdegaryp) / 1879</dc:title>
</cp:coreProperties>
</file>