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Mantgum / 1879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kerk uit ca 1500, in 1865-1867 verhoogd en verbouwd en volgens van een nieuwe toren voorzien. Spitsboogvensters met gietijzeren traceerwerk. Inwendig gestuct plafond uit 1879. Ronde preekstoel met reliëfs met bijbelse voorstellingen, doophek, banken als één geheel vervaardigd in 1779-1781 door Hermannus Berkebijl.</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het eerste in zijn soort, is een uitwerking van het model Nunspeet/Warga. Daar is onder de middentoren een breed veld aangebracht, geflankeerd door de benedenetages van de torenvelden. In Mantgum werd deze benedenpartij verzelfstandigd, waardoor een soort onderpositief ontstond. De kunstgreep bestond daaruit dat paneelwerk werd aangebracht tussen de middentoren en het daaronder aangebrachte veld en ook tussen de twee bovenste etages van de torenvelden en de benedenste. Hetzelfde gebeurde in de tussenvelden, waar de benedenetages nu rondbogig werden afgesloten; zij zetten lager aan dan de middenpartij, wat de zelfstandigheid daarvan nog vergroot.  Dit frontmodel hebben de Van Dams verschillende keren uitgevoerd, maar nooit meer in Friesland.</w:t>
      </w:r>
    </w:p>
    <w:p>
      <w:pPr>
        <w:pStyle w:val="T2Kunst"/>
        <w:jc w:val="start"/>
        <w:rPr>
          <w:lang w:val="nl-NL"/>
        </w:rPr>
      </w:pPr>
      <w:r>
        <w:rPr>
          <w:lang w:val="nl-NL"/>
        </w:rPr>
        <w:t>Het snijwerk is van hoge kwaliteit. Het vertoont grote overeenkomsten met dat aan het verder ook verwante orgel van Zuid-Scharwoude. Daarvan is de beeldsnijder bekend, namelijk H.F. Born uit Leeuwarden. Het mag worden aangenomen dat het snijwerk in Mantgum ook van zijn hand is.</w:t>
      </w:r>
    </w:p>
    <w:p>
      <w:pPr>
        <w:pStyle w:val="T2Kunst"/>
        <w:jc w:val="start"/>
        <w:rPr>
          <w:lang w:val="nl-NL"/>
        </w:rPr>
      </w:pPr>
      <w:r>
        <w:rPr>
          <w:lang w:val="nl-NL"/>
        </w:rPr>
        <w:t>Een belangrijk vormgevend element is de C-voluut, met decoratieve openingen. Deze voluten worden overal omslingerd door bladwerk en bloemen. Aan de pijpvoeten in de benedenvelden van de middenpartij zijn de voluten op de hoeken naar boven geopend, aan de pijpuiteinden naar beneden. Zo zijn er tal van variaties te bespeuren. De rijkste blinderingen zijn te vinden in de torens; daar ziet men hoe C-voluten aan elkaar gekoppeld worden tot een S-voluut met op de overgang een duidelijke knik. Ook hier zijn bij alle verwantschap weer verschillende varianten te bespeuren. De hoekvoluut kan zich naar binnen of naar buiten openen, terwijl ook de vormen van de in het midden aangebracht cartouche kan variëren. Fraai is ook de bovenafsluiting van de bovenste tussenvelden, een lijst bestaande uit een langgerekte en een korte C-voluut, met een knik bij de overgang van de een naar de ander, alles omraamd met subtiel aangebracht rankwerk met bloemen. De S-voluten op de overgang van de etages van de torenvelden munten uit door sierlijkheid. De vleugelstukken bestaan uit drie gekoppelde C-voluten met een knik tussen de bovenste twee, omgeven door bladwerk en bloemen en verrijkt met een ruitvormige decoratie met vierpasopeningen. Het vormenrepertoire is duidelijk ontleend aan de Lodewijk XIV stijl, maar enige rococo-elementen zijn ook wel te bespeuren, met name in de console onder de torens waar een schelpvormig ornament met geschulpte randen en parelvormige decoratie is te zien. De combinatie van het statige rijtuigzwart van de kas met het uitbundige vergulde snijwerk is een lust voor het oog.</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i/>
          <w:iCs/>
          <w:lang w:val="nl-NL"/>
        </w:rPr>
        <w:t>Informatie Nederlandse Orgels</w:t>
      </w:r>
      <w:r>
        <w:rPr>
          <w:lang w:val="nl-NL"/>
        </w:rPr>
        <w:t>, 12-67.</w:t>
      </w:r>
    </w:p>
    <w:p>
      <w:pPr>
        <w:pStyle w:val="T3Lit"/>
        <w:rPr/>
      </w:pPr>
      <w:r>
        <w:rPr>
          <w:lang w:val="nl-NL"/>
        </w:rPr>
        <w:t xml:space="preserve">Jan Jongepier, </w:t>
      </w:r>
      <w:r>
        <w:rPr>
          <w:i/>
          <w:iCs/>
          <w:lang w:val="nl-NL"/>
        </w:rPr>
        <w:t>Vijf eeuwen Friese orgelbouw</w:t>
      </w:r>
      <w:r>
        <w:rPr>
          <w:lang w:val="nl-NL"/>
        </w:rPr>
        <w:t>. Leeuwarden, 2004, 101, 199.</w:t>
      </w:r>
    </w:p>
    <w:p>
      <w:pPr>
        <w:pStyle w:val="T3Lit"/>
        <w:rPr/>
      </w:pPr>
      <w:r>
        <w:rPr>
          <w:i/>
          <w:iCs/>
          <w:lang w:val="nl-NL"/>
        </w:rPr>
        <w:t>Kerkelijke Courant</w:t>
      </w:r>
      <w:r>
        <w:rPr>
          <w:lang w:val="nl-NL"/>
        </w:rPr>
        <w:t>, 34/1 (1880).</w:t>
      </w:r>
    </w:p>
    <w:p>
      <w:pPr>
        <w:pStyle w:val="T3Lit"/>
        <w:rPr/>
      </w:pPr>
      <w:r>
        <w:rPr>
          <w:i/>
          <w:iCs/>
          <w:lang w:val="nl-NL"/>
        </w:rPr>
        <w:t>Leeuwarder Courant</w:t>
      </w:r>
      <w:r>
        <w:rPr>
          <w:lang w:val="nl-NL"/>
        </w:rPr>
        <w:t>, 29 december 1879, en 1 januari 1880.</w:t>
      </w:r>
    </w:p>
    <w:p>
      <w:pPr>
        <w:pStyle w:val="T3Lit"/>
        <w:jc w:val="start"/>
        <w:rPr>
          <w:lang w:val="nl-NL"/>
        </w:rPr>
      </w:pPr>
      <w:r>
        <w:rPr>
          <w:lang w:val="nl-NL"/>
        </w:rPr>
      </w:r>
    </w:p>
    <w:p>
      <w:pPr>
        <w:pStyle w:val="T3Lit"/>
        <w:jc w:val="start"/>
        <w:rPr>
          <w:lang w:val="nl-NL"/>
        </w:rPr>
      </w:pPr>
      <w:r>
        <w:rPr>
          <w:lang w:val="nl-NL"/>
        </w:rPr>
        <w:t>Monumentnummer 8498</w:t>
      </w:r>
    </w:p>
    <w:p>
      <w:pPr>
        <w:pStyle w:val="T3Lit"/>
        <w:jc w:val="start"/>
        <w:rPr>
          <w:lang w:val="nl-NL"/>
        </w:rPr>
      </w:pPr>
      <w:r>
        <w:rPr>
          <w:lang w:val="nl-NL"/>
        </w:rPr>
        <w:t>Orgelnummer 937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Bakker &amp; Timmenga 1913</w:t>
      </w:r>
    </w:p>
    <w:p>
      <w:pPr>
        <w:pStyle w:val="T1"/>
        <w:jc w:val="start"/>
        <w:rPr>
          <w:lang w:val="nl-NL"/>
        </w:rPr>
      </w:pPr>
      <w:r>
        <w:rPr>
          <w:lang w:val="nl-NL"/>
        </w:rPr>
        <w:t>.</w:t>
        <w:tab/>
        <w:t>frontpijpen gepolijst</w:t>
      </w:r>
    </w:p>
    <w:p>
      <w:pPr>
        <w:pStyle w:val="T1"/>
        <w:jc w:val="start"/>
        <w:rPr>
          <w:lang w:val="nl-NL"/>
        </w:rPr>
      </w:pPr>
      <w:r>
        <w:rPr>
          <w:lang w:val="nl-NL"/>
        </w:rPr>
      </w:r>
    </w:p>
    <w:p>
      <w:pPr>
        <w:pStyle w:val="T1"/>
        <w:jc w:val="start"/>
        <w:rPr>
          <w:lang w:val="nl-NL"/>
        </w:rPr>
      </w:pPr>
      <w:r>
        <w:rPr>
          <w:lang w:val="nl-NL"/>
        </w:rPr>
        <w:t>Bakker &amp; Timmenga 1935</w:t>
      </w:r>
    </w:p>
    <w:p>
      <w:pPr>
        <w:pStyle w:val="T1"/>
        <w:jc w:val="start"/>
        <w:rPr>
          <w:lang w:val="nl-NL"/>
        </w:rPr>
      </w:pPr>
      <w:r>
        <w:rPr>
          <w:lang w:val="nl-NL"/>
        </w:rPr>
        <w:t>.</w:t>
        <w:tab/>
        <w:t>reparatie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22" w:type="dxa"/>
        <w:jc w:val="start"/>
        <w:tblInd w:w="-70" w:type="dxa"/>
        <w:tblLayout w:type="fixed"/>
        <w:tblCellMar>
          <w:top w:w="0" w:type="dxa"/>
          <w:start w:w="70" w:type="dxa"/>
          <w:bottom w:w="0" w:type="dxa"/>
          <w:end w:w="70" w:type="dxa"/>
        </w:tblCellMar>
      </w:tblPr>
      <w:tblGrid>
        <w:gridCol w:w="1600"/>
        <w:gridCol w:w="643"/>
        <w:gridCol w:w="1690"/>
        <w:gridCol w:w="643"/>
        <w:gridCol w:w="1266"/>
        <w:gridCol w:w="480"/>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 D</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Quintprestant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90" w:type="dxa"/>
            <w:tcBorders/>
          </w:tcPr>
          <w:p>
            <w:pPr>
              <w:pStyle w:val="T4dispositi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Fluit does</w:t>
            </w:r>
          </w:p>
          <w:p>
            <w:pPr>
              <w:pStyle w:val="T4dispositie"/>
              <w:rPr>
                <w:lang w:val="nl-NL"/>
              </w:rPr>
            </w:pPr>
            <w:r>
              <w:rPr>
                <w:lang w:val="nl-NL"/>
              </w:rPr>
              <w:t>Salicionaal</w:t>
            </w:r>
          </w:p>
          <w:p>
            <w:pPr>
              <w:pStyle w:val="T4dispositie"/>
              <w:rPr>
                <w:lang w:val="nl-NL"/>
              </w:rPr>
            </w:pPr>
            <w:r>
              <w:rPr>
                <w:lang w:val="nl-NL"/>
              </w:rPr>
              <w:t>Viool de Gambe</w:t>
            </w:r>
          </w:p>
          <w:p>
            <w:pPr>
              <w:pStyle w:val="T4dispositie"/>
              <w:rPr>
                <w:lang w:val="nl-NL"/>
              </w:rPr>
            </w:pPr>
            <w:r>
              <w:rPr>
                <w:lang w:val="nl-NL"/>
              </w:rPr>
              <w:t>Salicet</w:t>
            </w:r>
          </w:p>
          <w:p>
            <w:pPr>
              <w:pStyle w:val="T4dispositie"/>
              <w:rPr>
                <w:lang w:val="nl-NL"/>
              </w:rPr>
            </w:pPr>
            <w:r>
              <w:rPr>
                <w:lang w:val="nl-NL"/>
              </w:rPr>
              <w:t>Fluit travers</w:t>
            </w:r>
          </w:p>
          <w:p>
            <w:pPr>
              <w:pStyle w:val="T4dispositie"/>
              <w:rPr>
                <w:lang w:val="nl-NL"/>
              </w:rPr>
            </w:pPr>
            <w:r>
              <w:rPr>
                <w:lang w:val="nl-NL"/>
              </w:rPr>
              <w:t>Gemshoorn</w:t>
            </w:r>
          </w:p>
          <w:p>
            <w:pPr>
              <w:pStyle w:val="T4dispositie"/>
              <w:rPr>
                <w:lang w:val="nl-NL"/>
              </w:rPr>
            </w:pPr>
            <w:r>
              <w:rPr>
                <w:lang w:val="nl-NL"/>
              </w:rPr>
              <w:t>Klarinet</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Gedakt</w:t>
            </w:r>
          </w:p>
          <w:p>
            <w:pPr>
              <w:pStyle w:val="T4dispositie"/>
              <w:rPr>
                <w:lang w:val="nl-NL"/>
              </w:rPr>
            </w:pPr>
            <w:r>
              <w:rPr>
                <w:lang w:val="nl-NL"/>
              </w:rPr>
              <w:t>Octaaf</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gereserveerd</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afsluitingen HW, BW, Ped</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(1879)</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beide manuaalwerken zijn, anders dan het front doet vermoeden, letterlijk als HW en BW opgesteld. De pedaallade is dwars aan de linker zijkant geplaatst.</w:t>
      </w:r>
    </w:p>
    <w:p>
      <w:pPr>
        <w:pStyle w:val="T1"/>
        <w:jc w:val="start"/>
        <w:rPr/>
      </w:pPr>
      <w:r>
        <w:rPr>
          <w:lang w:val="nl-NL"/>
        </w:rPr>
        <w:t>In het front spreken pijpen van de Prestant 8' HW (C-fis</w:t>
      </w:r>
      <w:r>
        <w:rPr>
          <w:vertAlign w:val="superscript"/>
          <w:lang w:val="nl-NL"/>
        </w:rPr>
        <w:t>1</w:t>
      </w:r>
      <w:r>
        <w:rPr>
          <w:lang w:val="nl-NL"/>
        </w:rPr>
        <w:t>, behalve vier grote pijpen die binnen staan, in de zijtoren aan de klaviatuurzijde en het onderfront), Salicionaal 8' BW (E-fis</w:t>
      </w:r>
      <w:r>
        <w:rPr>
          <w:vertAlign w:val="superscript"/>
          <w:lang w:val="nl-NL"/>
        </w:rPr>
        <w:t>1</w:t>
      </w:r>
      <w:r>
        <w:rPr>
          <w:lang w:val="nl-NL"/>
        </w:rPr>
        <w:t>, behalve cis en d, die binnen staan) en Prestant 8' Ped (zijtoren links).</w:t>
      </w:r>
    </w:p>
    <w:p>
      <w:pPr>
        <w:pStyle w:val="T1"/>
        <w:jc w:val="start"/>
        <w:rPr>
          <w:lang w:val="nl-NL"/>
        </w:rPr>
      </w:pPr>
      <w:r>
        <w:rPr>
          <w:lang w:val="nl-NL"/>
        </w:rPr>
        <w:t>De registerknoppen van de manuaalwerken zijn in twee horizontale rijen boven de lessenaar geplaatst, inclusief de werktuiglijke registers die op de handklavieren betrekking hebben. In de registerborden aan weerskanten van de klavieren zijn, verticaal geordend, de registers van het Ped aangebracht, inclusief de afsluiting Ped en de beide koppelingen.</w:t>
      </w:r>
    </w:p>
    <w:p>
      <w:pPr>
        <w:pStyle w:val="T1"/>
        <w:jc w:val="start"/>
        <w:rPr>
          <w:lang w:val="nl-NL"/>
        </w:rPr>
      </w:pPr>
      <w:r>
        <w:rPr>
          <w:lang w:val="nl-NL"/>
        </w:rPr>
        <w:t>De balg bevindt zich in de onderkas. Vanwege de aanwezigheid van de pedaallade is de handpomp aan de klaviatuurzijde geplaatst. De kanalen zijn van eiken, de tremulant is inliggend.</w:t>
      </w:r>
    </w:p>
    <w:p>
      <w:pPr>
        <w:pStyle w:val="T1"/>
        <w:jc w:val="start"/>
        <w:rPr/>
      </w:pPr>
      <w:r>
        <w:rPr>
          <w:lang w:val="nl-NL"/>
        </w:rPr>
        <w:t>De windladen zijn van eiken en hebben opliggende voorslagen. De cancelvolgorde van de HW-lade is chromatisch: C-dis g</w:t>
      </w:r>
      <w:r>
        <w:rPr>
          <w:vertAlign w:val="superscript"/>
          <w:lang w:val="nl-NL"/>
        </w:rPr>
        <w:t>3</w:t>
      </w:r>
      <w:r>
        <w:rPr>
          <w:lang w:val="nl-NL"/>
        </w:rPr>
        <w:t>-e. Voor de Violon D 8' is een kantsleep aangebracht. De cancelvolgorde van de BW-lade is in hele tonen aflopend vanuit C in het midden. De pedaallade heeft de volgende cancelvolgorde: C c Cis cis D d - H h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 Er is een gereserveerde sleep voor een 16-voets tongwerk, waarvoor registerknop, registermechaniek en sleep aanwezig zijn. Het registeropschrift luidt: Muette 16'. De tongwerksleep bevindt zich aan de binnenzijde. De sleep van de Subbas 16' is als kantsleep uitgevoerd, alle pijpen van dit register staan op vervoerstokken.</w:t>
      </w:r>
    </w:p>
    <w:p>
      <w:pPr>
        <w:pStyle w:val="T1"/>
        <w:jc w:val="start"/>
        <w:rPr>
          <w:lang w:val="nl-NL"/>
        </w:rPr>
      </w:pPr>
      <w:r>
        <w:rPr>
          <w:lang w:val="nl-NL"/>
        </w:rPr>
        <w:t>Bij de volgende registers zijn eiken pijpen toegepast: HW Bourdon 16' (C-g), Holpijp 8' (C-G); BW Fluit dolce 8' (C-G) en Ped Subbas 16' (geheel), Gedakt 8' (C-G).</w:t>
      </w:r>
    </w:p>
    <w:p>
      <w:pPr>
        <w:pStyle w:val="T1"/>
        <w:jc w:val="start"/>
        <w:rPr>
          <w:lang w:val="nl-NL"/>
        </w:rPr>
      </w:pPr>
      <w:r>
        <w:rPr>
          <w:lang w:val="nl-NL"/>
        </w:rPr>
        <w:t>De Roerfluit 4' is in het hoogste octaaf open, licht conisch. De Salicionaal 8' begint op E. De Viool de Gambe 8' is van C-H gecombineerd met de Fluit does 8'. De Fluit travers 4' is van C-e gedekt, het vervolg is open. De Gemshoorn 2' is conisch.</w:t>
      </w:r>
    </w:p>
    <w:p>
      <w:pPr>
        <w:pStyle w:val="T1"/>
        <w:jc w:val="start"/>
        <w:rPr>
          <w:lang w:val="nl-NL"/>
        </w:rPr>
      </w:pPr>
      <w:r>
        <w:rPr>
          <w:lang w:val="nl-NL"/>
        </w:rPr>
        <w:t>De Trompet 8' heeft mahonie stevels en koppen. Bij C-f zijn mahonie kelen toegepast die samen met de kop uit één stuk mahonie gemaakt zijn; vanaf fis zijn de kelen van messing. De Klarinet 8' is doorslaand met mahonie stevels en een stevelrepetitie op gis. De koppen en kelen van het gehele register zijn per toon uit één stuk mahonie vervaardigd.</w:t>
      </w:r>
    </w:p>
    <w:p>
      <w:pPr>
        <w:pStyle w:val="T1"/>
        <w:jc w:val="start"/>
        <w:rPr/>
      </w:pPr>
      <w:r>
        <w:rPr>
          <w:lang w:val="nl-NL"/>
        </w:rPr>
        <w:t>Expressions zijn toegepast bij de binnenpijpen van de registers: Violon D 8', Prestant 8', Salicionaal 8', Viool de Gambe 8' en bij de Octaaf 4' HW (C-h), Quintprestant 3' (C-e), Octaaf 2' (C-H); BW Fluit travers 4' (f-f</w:t>
      </w:r>
      <w:r>
        <w:rPr>
          <w:vertAlign w:val="superscript"/>
          <w:lang w:val="nl-NL"/>
        </w:rPr>
        <w:t>1</w:t>
      </w:r>
      <w:r>
        <w:rPr>
          <w:lang w:val="nl-NL"/>
        </w:rPr>
        <w:t>) en Ped Prestant 8' en Octaaf 4' (alle pijpen).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2006-04-25T12:37:00Z</dcterms:created>
  <dc:creator>WS1</dc:creator>
  <dc:description/>
  <dc:language>en-US</dc:language>
  <cp:lastModifiedBy>WS1</cp:lastModifiedBy>
  <dcterms:modified xsi:type="dcterms:W3CDTF">2006-04-25T12:37:00Z</dcterms:modified>
  <cp:revision>2</cp:revision>
  <dc:subject/>
  <dc:title>Veessen / 1882</dc:title>
</cp:coreProperties>
</file>