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Margraten / 1879</w:t>
      </w:r>
    </w:p>
    <w:p>
      <w:pPr>
        <w:pStyle w:val="Heading2"/>
        <w:rPr>
          <w:i w:val="false"/>
          <w:i w:val="false"/>
          <w:iCs/>
        </w:rPr>
      </w:pPr>
      <w:r>
        <w:rPr>
          <w:i w:val="false"/>
          <w:iCs/>
        </w:rPr>
        <w:t>R.K. H. Margaritakerk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 xml:space="preserve">Eenbeukige kerk met spitstongewelven op betonnen bogen, gebouwd 1921-1928 naar ontwerp van Alphons Boosten en Jos Ritzen, met behoud van het koor en de toren van vorige kerk. Het nieuwe gebouw is loodrecht op de as van de oude kerk opgetrokken. In het oude koor schilderingen uit de late 15e eeuw. In het nieuwe gedeelte schilderingen en ramen van Henri Schoonbrood. </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vijfdelig neorenaissance front, bestaande uit een door een rondbogige bovenlijst afgesloten middenveld, lagere tussenvelden met horizontale bovenlijsten en iets hogere torenachtige zijvelden. Wat het meest opvalt is de rondboogvormige afsluiting van het middenveld. De firma Pereboom &amp; Leijser had dat voordien al vrij veel gedaan bij instrumenten in België. Het oudste voorbeeld is het orgel in de Saint-Joseph in Deigné, maar dan met een driedelig front (1867). Daarbij wordt ook vrijwel meteen de herkomst van dit motief duidelijk. Kort tevoren had de firma Pereboom &amp; Leijser twee orgels gebouwd, in Herstappe en Manaihant (beide 1866), met een driedelig neogotisch front van het zeer verbreide blokvormige model met een middenveld bekroond door een wimberg, geflankeerd door twee horizontaal afgesloten velden. Dit type is in Nederland veelvuldig gebruikt door vader en zoon Witte. Het orgel van Deigné is een vertaling van dit neogotische model in rondboogstijl: de spitse wimberg werd vervangen door een rondboog. In dezelfde tijd komt een vijfdelige variant van dit model tot stand in Gingelom (1867) en het is dit type dat wij ook vinden in Margraten, maar dan met een decoratie in klassieke vormen. De stijlen tussen de velden zijn getransformeerd tot klassieke pilasters met rudimentaire corinthische kapitelen. De pilasters hebben overal dezelfde lengte. Het hoogteverschil tussen de tussenvelden en het middenveld en de zijvelden wordt overbrugd door klossen met verticale inkassingen. Daarop rusten bij het middenveld de zwaar geprofileerde rondbogige lijst en bij de zijvelden klassieke timpaans. Blinderingen aan de pijpvoeten ontbreken. In het middenveld ziet men aan de pijpuiteinden een gecompliceerd samenstel van S-ranken. In de andere velden ziet men curieus geribbeld, sterk geabstraheerd bladwerk. In de zware onderlijst zetten zich de torenachtige velden (middenveld en zijvelden) nog voort. De onderkas is gedeeltelijk opengewerkt. Op de hoeken wordt de bovenkas gesteund door brede stijlen met kapitelen met gestileerd bladwerk. De orgelmakers Pereboom en Leijser zullen dit frontmodel ook hierna nog in verschillende varianten toepassen.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Henk van Loo, Ton Reijnaerdts, </w:t>
      </w:r>
      <w:r>
        <w:rPr>
          <w:i/>
          <w:lang w:val="nl-NL"/>
        </w:rPr>
        <w:t>Pereboom &amp; Leijser. Orgelmakers te Maastricht</w:t>
      </w:r>
      <w:r>
        <w:rPr>
          <w:lang w:val="nl-NL"/>
        </w:rPr>
        <w:t>. Maastricht, 1998, 155, 228.</w:t>
      </w:r>
    </w:p>
    <w:p>
      <w:pPr>
        <w:pStyle w:val="T3Lit"/>
        <w:jc w:val="start"/>
        <w:rPr/>
      </w:pPr>
      <w:r>
        <w:rPr>
          <w:i/>
          <w:lang w:val="nl-NL"/>
        </w:rPr>
        <w:t>De Mixtuur</w:t>
      </w:r>
      <w:r>
        <w:rPr>
          <w:lang w:val="nl-NL"/>
        </w:rPr>
        <w:t>, 78 (1994), 938-940.</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pPr>
      <w:r>
        <w:rPr>
          <w:lang w:val="nl-NL"/>
        </w:rPr>
        <w:t xml:space="preserve">A. Bouman, </w:t>
      </w:r>
      <w:r>
        <w:rPr>
          <w:i/>
          <w:iCs/>
          <w:lang w:val="nl-NL"/>
        </w:rPr>
        <w:t>Dispositiecahier VII</w:t>
      </w:r>
      <w:r>
        <w:rPr>
          <w:lang w:val="nl-NL"/>
        </w:rPr>
        <w:t>.</w:t>
      </w:r>
    </w:p>
    <w:p>
      <w:pPr>
        <w:pStyle w:val="T3Lit"/>
        <w:jc w:val="start"/>
        <w:rPr>
          <w:lang w:val="nl-NL"/>
        </w:rPr>
      </w:pPr>
      <w:r>
        <w:rPr>
          <w:lang w:val="nl-NL"/>
        </w:rPr>
      </w:r>
    </w:p>
    <w:p>
      <w:pPr>
        <w:pStyle w:val="T3Lit"/>
        <w:jc w:val="start"/>
        <w:rPr>
          <w:lang w:val="nl-NL"/>
        </w:rPr>
      </w:pPr>
      <w:r>
        <w:rPr>
          <w:lang w:val="nl-NL"/>
        </w:rPr>
        <w:t>Monumentnummer 34614</w:t>
      </w:r>
    </w:p>
    <w:p>
      <w:pPr>
        <w:pStyle w:val="T3Lit"/>
        <w:jc w:val="start"/>
        <w:rPr>
          <w:lang w:val="nl-NL"/>
        </w:rPr>
      </w:pPr>
      <w:r>
        <w:rPr>
          <w:lang w:val="nl-NL"/>
        </w:rPr>
        <w:t>Orgelnummer 938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Pereboom &amp; Leijser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1879</w:t>
      </w:r>
    </w:p>
    <w:p>
      <w:pPr>
        <w:pStyle w:val="T1"/>
        <w:jc w:val="start"/>
        <w:rPr>
          <w:lang w:val="nl-NL"/>
        </w:rPr>
      </w:pPr>
      <w:r>
        <w:rPr>
          <w:lang w:val="nl-NL"/>
        </w:rPr>
      </w:r>
    </w:p>
    <w:p>
      <w:pPr>
        <w:pStyle w:val="T1"/>
        <w:jc w:val="start"/>
        <w:rPr>
          <w:lang w:val="nl-NL"/>
        </w:rPr>
      </w:pPr>
      <w:r>
        <w:rPr>
          <w:lang w:val="nl-NL"/>
        </w:rPr>
        <w:t>M. Pereboom 1926</w:t>
      </w:r>
    </w:p>
    <w:p>
      <w:pPr>
        <w:pStyle w:val="T1"/>
        <w:jc w:val="start"/>
        <w:rPr>
          <w:lang w:val="nl-NL"/>
        </w:rPr>
      </w:pPr>
      <w:r>
        <w:rPr>
          <w:lang w:val="nl-NL"/>
        </w:rPr>
        <w:t>.</w:t>
        <w:tab/>
        <w:t>orgel gedemonteerd en later weer herplaatst in kader vernieuwing kerkgebouw</w:t>
      </w:r>
    </w:p>
    <w:p>
      <w:pPr>
        <w:pStyle w:val="T1"/>
        <w:jc w:val="start"/>
        <w:rPr>
          <w:lang w:val="nl-NL"/>
        </w:rPr>
      </w:pPr>
      <w:r>
        <w:rPr>
          <w:lang w:val="nl-NL"/>
        </w:rPr>
      </w:r>
    </w:p>
    <w:p>
      <w:pPr>
        <w:pStyle w:val="T1"/>
        <w:jc w:val="start"/>
        <w:rPr>
          <w:lang w:val="nl-NL"/>
        </w:rPr>
      </w:pPr>
      <w:r>
        <w:rPr>
          <w:lang w:val="nl-NL"/>
        </w:rPr>
        <w:t>Verschueren Orgelbouw 1992</w:t>
      </w:r>
    </w:p>
    <w:p>
      <w:pPr>
        <w:pStyle w:val="T1"/>
        <w:jc w:val="start"/>
        <w:rPr>
          <w:lang w:val="nl-NL"/>
        </w:rPr>
      </w:pPr>
      <w:r>
        <w:rPr>
          <w:lang w:val="nl-NL"/>
        </w:rPr>
        <w:t>.</w:t>
        <w:tab/>
        <w:t>restauratie</w:t>
      </w:r>
    </w:p>
    <w:p>
      <w:pPr>
        <w:pStyle w:val="T1"/>
        <w:jc w:val="start"/>
        <w:rPr>
          <w:lang w:val="nl-NL"/>
        </w:rPr>
      </w:pPr>
      <w:r>
        <w:rPr>
          <w:lang w:val="nl-NL"/>
        </w:rPr>
        <w:t>.</w:t>
        <w:tab/>
        <w:t>versleten toetsbeleg handklavieren vervangen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positif, aangehangen pedaal</w:t>
      </w:r>
    </w:p>
    <w:p>
      <w:pPr>
        <w:pStyle w:val="T1"/>
        <w:jc w:val="start"/>
        <w:rPr>
          <w:lang w:val="nl-NL"/>
        </w:rPr>
      </w:pPr>
      <w:r>
        <w:rPr>
          <w:lang w:val="nl-NL"/>
        </w:rPr>
      </w:r>
    </w:p>
    <w:p>
      <w:pPr>
        <w:pStyle w:val="T1"/>
        <w:jc w:val="start"/>
        <w:rPr/>
      </w:pPr>
      <w:r>
        <w:rPr/>
        <w:t>Dispositie</w:t>
      </w:r>
    </w:p>
    <w:tbl>
      <w:tblPr>
        <w:tblW w:w="3959" w:type="dxa"/>
        <w:jc w:val="start"/>
        <w:tblInd w:w="-70" w:type="dxa"/>
        <w:tblLayout w:type="fixed"/>
        <w:tblCellMar>
          <w:top w:w="0" w:type="dxa"/>
          <w:start w:w="70" w:type="dxa"/>
          <w:bottom w:w="0" w:type="dxa"/>
          <w:end w:w="70" w:type="dxa"/>
        </w:tblCellMar>
      </w:tblPr>
      <w:tblGrid>
        <w:gridCol w:w="1838"/>
        <w:gridCol w:w="480"/>
        <w:gridCol w:w="1266"/>
        <w:gridCol w:w="375"/>
      </w:tblGrid>
      <w:tr>
        <w:trPr/>
        <w:tc>
          <w:tcPr>
            <w:tcW w:w="1838" w:type="dxa"/>
            <w:tcBorders/>
          </w:tcPr>
          <w:p>
            <w:pPr>
              <w:pStyle w:val="T4dispositie"/>
              <w:jc w:val="start"/>
              <w:rPr>
                <w:i/>
                <w:i/>
                <w:iCs/>
                <w:lang w:val="nl-NL"/>
              </w:rPr>
            </w:pPr>
            <w:r>
              <w:rPr>
                <w:i/>
                <w:iCs/>
                <w:lang w:val="nl-NL"/>
              </w:rPr>
              <w:t>Grand Orgue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Montre</w:t>
            </w:r>
          </w:p>
          <w:p>
            <w:pPr>
              <w:pStyle w:val="T4dispositie"/>
              <w:jc w:val="start"/>
              <w:rPr>
                <w:lang w:val="nl-NL"/>
              </w:rPr>
            </w:pPr>
            <w:r>
              <w:rPr>
                <w:lang w:val="nl-NL"/>
              </w:rPr>
              <w:t>Bourdon</w:t>
            </w:r>
          </w:p>
          <w:p>
            <w:pPr>
              <w:pStyle w:val="T4dispositie"/>
              <w:jc w:val="start"/>
              <w:rPr>
                <w:lang w:val="nl-NL"/>
              </w:rPr>
            </w:pPr>
            <w:r>
              <w:rPr>
                <w:lang w:val="nl-NL"/>
              </w:rPr>
              <w:t>Mélophone</w:t>
            </w:r>
          </w:p>
          <w:p>
            <w:pPr>
              <w:pStyle w:val="T4dispositie"/>
              <w:jc w:val="start"/>
              <w:rPr>
                <w:lang w:val="nl-NL"/>
              </w:rPr>
            </w:pPr>
            <w:r>
              <w:rPr>
                <w:lang w:val="nl-NL"/>
              </w:rPr>
              <w:t>Prestant</w:t>
            </w:r>
          </w:p>
          <w:p>
            <w:pPr>
              <w:pStyle w:val="T4dispositie"/>
              <w:jc w:val="start"/>
              <w:rPr>
                <w:lang w:val="nl-NL"/>
              </w:rPr>
            </w:pPr>
            <w:r>
              <w:rPr>
                <w:lang w:val="nl-NL"/>
              </w:rPr>
              <w:t>Doublette</w:t>
            </w:r>
          </w:p>
          <w:p>
            <w:pPr>
              <w:pStyle w:val="T4dispositie"/>
              <w:jc w:val="start"/>
              <w:rPr>
                <w:lang w:val="nl-NL"/>
              </w:rPr>
            </w:pPr>
            <w:r>
              <w:rPr>
                <w:lang w:val="nl-NL"/>
              </w:rPr>
              <w:t>Trompette</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266" w:type="dxa"/>
            <w:tcBorders/>
          </w:tcPr>
          <w:p>
            <w:pPr>
              <w:pStyle w:val="T4dispositie"/>
              <w:jc w:val="start"/>
              <w:rPr>
                <w:i/>
                <w:i/>
                <w:iCs/>
                <w:lang w:val="nl-NL"/>
              </w:rPr>
            </w:pPr>
            <w:r>
              <w:rPr>
                <w:i/>
                <w:iCs/>
                <w:lang w:val="nl-NL"/>
              </w:rPr>
              <w:t>Positif (I)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Salicional</w:t>
            </w:r>
          </w:p>
          <w:p>
            <w:pPr>
              <w:pStyle w:val="T4dispositie"/>
              <w:jc w:val="start"/>
              <w:rPr>
                <w:lang w:val="nl-NL"/>
              </w:rPr>
            </w:pPr>
            <w:r>
              <w:rPr>
                <w:lang w:val="nl-NL"/>
              </w:rPr>
              <w:t>Flute</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GO-Pos octave grave</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(1879)</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dwars geplaatste speeltafel onder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balg, met in- en uitspringende vouw, staat in een afgesloten ruimte in een hoek van het oksaal. De onderkas van het orgel bestaat vrijwel uitsluitend uit de dwars geplaatste speeltafel.</w:t>
      </w:r>
    </w:p>
    <w:p>
      <w:pPr>
        <w:pStyle w:val="T1"/>
        <w:jc w:val="start"/>
        <w:rPr>
          <w:lang w:val="nl-NL"/>
        </w:rPr>
      </w:pPr>
      <w:r>
        <w:rPr>
          <w:lang w:val="nl-NL"/>
        </w:rPr>
        <w:t>De registerknoppen zijn in een horizontale rij boven de lessenaarbak aangebracht. De knoppen van het GO zijn voorzien van zwarte opschriften, die van het Pos van blauwe opschriften. De koppeling wordt met een trede bediend.</w:t>
      </w:r>
    </w:p>
    <w:p>
      <w:pPr>
        <w:pStyle w:val="T1"/>
        <w:jc w:val="start"/>
        <w:rPr>
          <w:lang w:val="nl-NL"/>
        </w:rPr>
      </w:pPr>
      <w:r>
        <w:rPr>
          <w:lang w:val="nl-NL"/>
        </w:rPr>
        <w:t>Het pijpwerk van GO en Pos staat op een gecombineerde windlade met twee ventielkasten, één aan de front- (Pos) en een aan de achterzijde (GO). De cancellenramen en de ventielkasten zijn van eiken; de scheien en sponsels zijn van zachthout.</w:t>
      </w:r>
    </w:p>
    <w:p>
      <w:pPr>
        <w:pStyle w:val="T1"/>
        <w:jc w:val="start"/>
        <w:rPr>
          <w:lang w:val="nl-NL"/>
        </w:rPr>
      </w:pPr>
      <w:r>
        <w:rPr>
          <w:lang w:val="nl-NL"/>
        </w:rPr>
        <w:t>De opstelling van het pijpwerk is als volgt: de C-lade bevindt zich vanuit de kerk gezien aan de rechterzijde. C-Gis lopen vanuit het midden naar de zijkant af, het vervolg B-Fis begint aan de zijkant en loopt naar met midden toe af. Tussen beide reeksen is het vervolg opgesteld, van groot naar klein aflopend van het midden naar de zijkant toe. De Cis-lade is exact gespiegeld opgesteld.</w:t>
      </w:r>
    </w:p>
    <w:p>
      <w:pPr>
        <w:pStyle w:val="T1"/>
        <w:jc w:val="start"/>
        <w:rPr/>
      </w:pPr>
      <w:r>
        <w:rPr>
          <w:lang w:val="nl-NL"/>
        </w:rPr>
        <w:t>Het pijpwerk is origineel. C-f</w:t>
      </w:r>
      <w:r>
        <w:rPr>
          <w:vertAlign w:val="superscript"/>
          <w:lang w:val="nl-NL"/>
        </w:rPr>
        <w:t>1</w:t>
      </w:r>
      <w:r>
        <w:rPr>
          <w:lang w:val="nl-NL"/>
        </w:rPr>
        <w:t xml:space="preserve"> van de Bourdon 16' en C-f van de beide registers Bourdon 8' zijn van naaldhout met eiken stoppen en voorslagen, het vervolg van deze drie registers is van metaal. De Montre 8' heeft houten binnenpijpen voor C en Cis, D-c</w:t>
      </w:r>
      <w:r>
        <w:rPr>
          <w:vertAlign w:val="superscript"/>
          <w:lang w:val="nl-NL"/>
        </w:rPr>
        <w:t>1</w:t>
      </w:r>
      <w:r>
        <w:rPr>
          <w:lang w:val="nl-NL"/>
        </w:rPr>
        <w:t xml:space="preserve"> staan in het front, het vervolg staat op de lade. De Mélophone 8' begint op C en is geheel voorzien van expressions, zijbaarden en freins. Van de Prestant 4' staan D-A in het front. De prestantregisters zijn tot ca 1/2-voets lengte voorzien van expressions.</w:t>
      </w:r>
    </w:p>
    <w:p>
      <w:pPr>
        <w:pStyle w:val="T1"/>
        <w:jc w:val="start"/>
        <w:rPr/>
      </w:pPr>
      <w:r>
        <w:rPr>
          <w:lang w:val="nl-NL"/>
        </w:rPr>
        <w:t>De Salicional 8' van het Pos begint op C en is geheel voorzien van expressions, zijbaarden en freins. De Flute 4' is van C-g</w:t>
      </w:r>
      <w:r>
        <w:rPr>
          <w:vertAlign w:val="superscript"/>
          <w:lang w:val="nl-NL"/>
        </w:rPr>
        <w:t>2</w:t>
      </w:r>
      <w:r>
        <w:rPr>
          <w:lang w:val="nl-NL"/>
        </w:rPr>
        <w:t xml:space="preserve"> voorzien van inwendige roeren; de overige pijpen van dit register zijn conisch, open.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2006-04-25T12:38:00Z</dcterms:created>
  <dc:creator>WS1</dc:creator>
  <dc:description/>
  <dc:language>en-US</dc:language>
  <cp:lastModifiedBy>WS1</cp:lastModifiedBy>
  <dcterms:modified xsi:type="dcterms:W3CDTF">2006-04-25T12:38:00Z</dcterms:modified>
  <cp:revision>2</cp:revision>
  <dc:subject/>
  <dc:title>Margraten / 1879</dc:title>
</cp:coreProperties>
</file>