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Ouwsterhaule / 1880</w:t>
      </w:r>
    </w:p>
    <w:p>
      <w:pPr>
        <w:pStyle w:val="Heading2"/>
        <w:rPr>
          <w:i w:val="false"/>
          <w:i w:val="false"/>
          <w:iCs/>
        </w:rPr>
      </w:pPr>
      <w:r>
        <w:rPr>
          <w:i w:val="false"/>
          <w:iCs/>
        </w:rPr>
        <w:t>Hervormde Kerk</w:t>
      </w:r>
    </w:p>
    <w:p>
      <w:pPr>
        <w:pStyle w:val="T1"/>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Eenbeukige kerk uit de 18e eeuw met een voorgevel met toren erboven uit 1802. In 1877 sterk gewijzigd. Preekstoel uit 1802.</w:t>
      </w:r>
    </w:p>
    <w:p>
      <w:pPr>
        <w:pStyle w:val="T1"/>
        <w:rPr>
          <w:rFonts w:ascii="Times New Roman" w:hAnsi="Times New Roman" w:cs="Times New Roman"/>
          <w:i/>
          <w:i/>
          <w:iCs/>
          <w:spacing w:val="-3"/>
          <w:lang w:val="nl-NL"/>
        </w:rPr>
      </w:pPr>
      <w:r>
        <w:rPr>
          <w:rFonts w:cs="Times New Roman"/>
          <w:i/>
          <w:iCs/>
          <w:spacing w:val="-3"/>
          <w:lang w:val="nl-NL"/>
        </w:rPr>
      </w:r>
    </w:p>
    <w:p>
      <w:pPr>
        <w:pStyle w:val="T1"/>
        <w:rPr>
          <w:lang w:val="nl-NL"/>
        </w:rPr>
      </w:pPr>
      <w:r>
        <w:rPr>
          <w:lang w:val="nl-NL"/>
        </w:rPr>
        <w:t>Kas: 1880</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het door het huis Van Dam veelvuldig toegepaste tweetorenfront dat uiteindelijk teruggaat op het orgelfront in Oudwoude uit 1856 (deel 1850-1858, 303-304). Ook hier een breed hol middenveld, twee ronde zijtorens en twee achterwaarts geholde zijvelden.</w:t>
      </w:r>
    </w:p>
    <w:p>
      <w:pPr>
        <w:pStyle w:val="T2Kunst"/>
        <w:jc w:val="start"/>
        <w:rPr>
          <w:lang w:val="nl-NL"/>
        </w:rPr>
      </w:pPr>
      <w:r>
        <w:rPr>
          <w:lang w:val="nl-NL"/>
        </w:rPr>
        <w:t>De ornamentiek vertoont invloeden van het Lodewijk XIV. Aan de pijpvoeten in de velden zijn telkens twee gekoppelde C-voluten aangebracht, de een met de opening naar beneden, de andere met de opening naar boven, waardoor zij tezamen een S-voluut vormen. Vergelijkbare figuren, maar iets gecompliceerder van opbouw, zijn te vinden aan de pijpvoeten in de torens. Boven in het middenveld zijn twee forse C-voluten aangebracht met de opening naar beneden en daarin sierlijk bladwerk. Vanuit het midden van elk deze voluten wipt een klein voluutje speels omhoog. Iets dergelijks vindt men bij de meeste orgels van dit type, maar hier is het wel heel elegant uitgevoerd. Een lier bekroont het geheel. Boven de zijvelden de gebruikelijke naar buiten geopende C-voluut met een bebladerde tak eronder. De vleugelstukken zijn vrij bescheiden van omvang: een S-rank die zich bij de balustrade verbreedt in een krul. Zeer verfijnd zijn de consoles onder de torens en het daarbij aansluitende lijstwerk, sierlijke neoclassicistische vormen met eierlijsten en bladwerk. Op de torens opzetstukken uit voluutelementen. Op de zijstijlen opmerkelijke asymmetrische opzetstukken, in rococo-achtige vormen.</w:t>
      </w:r>
    </w:p>
    <w:p>
      <w:pPr>
        <w:pStyle w:val="T1"/>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Leeuwarden, 2004, 83, 204.</w:t>
      </w:r>
    </w:p>
    <w:p>
      <w:pPr>
        <w:pStyle w:val="T3Lit"/>
        <w:jc w:val="start"/>
        <w:rPr/>
      </w:pPr>
      <w:r>
        <w:rPr>
          <w:i/>
          <w:iCs/>
          <w:lang w:val="nl-NL"/>
        </w:rPr>
        <w:t>Kerkelijke Courant</w:t>
      </w:r>
      <w:r>
        <w:rPr>
          <w:lang w:val="nl-NL"/>
        </w:rPr>
        <w:t>, ../34 (1880).</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pPr>
      <w:r>
        <w:rPr>
          <w:lang w:val="nl-NL"/>
        </w:rPr>
        <w:t xml:space="preserve">Jan Jongepier, </w:t>
      </w:r>
      <w:r>
        <w:rPr>
          <w:i/>
          <w:iCs/>
          <w:lang w:val="nl-NL"/>
        </w:rPr>
        <w:t>Rapport over het orgel in de Hervormde Kerk te Ouwsterhaule</w:t>
      </w:r>
      <w:r>
        <w:rPr>
          <w:lang w:val="nl-NL"/>
        </w:rPr>
        <w:t>. Leeuwarden, 2002.</w:t>
      </w:r>
    </w:p>
    <w:p>
      <w:pPr>
        <w:pStyle w:val="T3Lit"/>
        <w:rPr>
          <w:lang w:val="nl-NL"/>
        </w:rPr>
      </w:pPr>
      <w:r>
        <w:rPr>
          <w:lang w:val="nl-NL"/>
        </w:rPr>
      </w:r>
    </w:p>
    <w:p>
      <w:pPr>
        <w:pStyle w:val="T3Lit"/>
        <w:rPr>
          <w:lang w:val="nl-NL"/>
        </w:rPr>
      </w:pPr>
      <w:r>
        <w:rPr>
          <w:lang w:val="nl-NL"/>
        </w:rPr>
        <w:t>Monumentnummer 13247</w:t>
      </w:r>
    </w:p>
    <w:p>
      <w:pPr>
        <w:pStyle w:val="T3Lit"/>
        <w:rPr>
          <w:lang w:val="nl-NL"/>
        </w:rPr>
      </w:pPr>
      <w:r>
        <w:rPr>
          <w:lang w:val="nl-NL"/>
        </w:rPr>
        <w:t>Orgelnummer 1214</w:t>
      </w:r>
    </w:p>
    <w:p>
      <w:pPr>
        <w:pStyle w:val="T1"/>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L. van Dam en Zonen</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1880</w:t>
      </w:r>
    </w:p>
    <w:p>
      <w:pPr>
        <w:pStyle w:val="T1"/>
        <w:rPr>
          <w:lang w:val="nl-NL"/>
        </w:rPr>
      </w:pPr>
      <w:r>
        <w:rPr>
          <w:lang w:val="nl-NL"/>
        </w:rPr>
      </w:r>
    </w:p>
    <w:p>
      <w:pPr>
        <w:pStyle w:val="T1"/>
        <w:rPr>
          <w:lang w:val="nl-NL"/>
        </w:rPr>
      </w:pPr>
      <w:r>
        <w:rPr>
          <w:lang w:val="nl-NL"/>
        </w:rPr>
        <w:t>L. van Dam en Zonen 1909</w:t>
      </w:r>
    </w:p>
    <w:p>
      <w:pPr>
        <w:pStyle w:val="T1"/>
        <w:rPr>
          <w:lang w:val="nl-NL"/>
        </w:rPr>
      </w:pPr>
      <w:r>
        <w:rPr>
          <w:lang w:val="nl-NL"/>
        </w:rPr>
        <w:t>.</w:t>
        <w:tab/>
        <w:t>orgel hersteld</w:t>
      </w:r>
    </w:p>
    <w:p>
      <w:pPr>
        <w:pStyle w:val="T1"/>
        <w:rPr>
          <w:lang w:val="nl-NL"/>
        </w:rPr>
      </w:pPr>
      <w:r>
        <w:rPr>
          <w:lang w:val="nl-NL"/>
        </w:rPr>
      </w:r>
    </w:p>
    <w:p>
      <w:pPr>
        <w:pStyle w:val="T1"/>
        <w:rPr>
          <w:lang w:val="nl-NL"/>
        </w:rPr>
      </w:pPr>
      <w:r>
        <w:rPr>
          <w:lang w:val="nl-NL"/>
        </w:rPr>
        <w:t>N.V. v/h P. van Dam 1928</w:t>
      </w:r>
    </w:p>
    <w:p>
      <w:pPr>
        <w:pStyle w:val="T1"/>
        <w:rPr>
          <w:lang w:val="nl-NL"/>
        </w:rPr>
      </w:pPr>
      <w:r>
        <w:rPr>
          <w:lang w:val="nl-NL"/>
        </w:rPr>
        <w:t>.</w:t>
        <w:tab/>
        <w:t>orgel hersteld</w:t>
      </w:r>
    </w:p>
    <w:p>
      <w:pPr>
        <w:pStyle w:val="T1"/>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217" w:type="dxa"/>
        <w:jc w:val="start"/>
        <w:tblInd w:w="-7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Octaav</w:t>
            </w:r>
          </w:p>
          <w:p>
            <w:pPr>
              <w:pStyle w:val="T4dispositie"/>
              <w:rPr>
                <w:lang w:val="nl-NL"/>
              </w:rPr>
            </w:pPr>
            <w:r>
              <w:rPr>
                <w:lang w:val="nl-NL"/>
              </w:rPr>
              <w:t>Fluit d’Amour</w:t>
            </w:r>
          </w:p>
          <w:p>
            <w:pPr>
              <w:pStyle w:val="T4dispositie"/>
              <w:rPr>
                <w:lang w:val="nl-NL"/>
              </w:rPr>
            </w:pPr>
            <w:r>
              <w:rPr>
                <w:lang w:val="nl-NL"/>
              </w:rPr>
              <w:t>Quintprestant</w:t>
            </w:r>
          </w:p>
          <w:p>
            <w:pPr>
              <w:pStyle w:val="T4dispositie"/>
              <w:rPr>
                <w:lang w:val="nl-NL"/>
              </w:rPr>
            </w:pPr>
            <w:r>
              <w:rPr>
                <w:lang w:val="nl-NL"/>
              </w:rPr>
              <w:t>Octaav</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tremulant</w:t>
      </w:r>
    </w:p>
    <w:p>
      <w:pPr>
        <w:pStyle w:val="T1"/>
        <w:rPr>
          <w:lang w:val="nl-NL"/>
        </w:rPr>
      </w:pPr>
      <w:r>
        <w:rPr>
          <w:lang w:val="nl-NL"/>
        </w:rPr>
        <w:t>afsluiting</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C-g</w:t>
      </w:r>
      <w:r>
        <w:rPr>
          <w:vertAlign w:val="superscript"/>
          <w:lang w:val="nl-NL"/>
        </w:rPr>
        <w:t>3</w:t>
      </w:r>
    </w:p>
    <w:p>
      <w:pPr>
        <w:pStyle w:val="T1"/>
        <w:rPr>
          <w:lang w:val="nl-NL"/>
        </w:rPr>
      </w:pPr>
      <w:r>
        <w:rPr>
          <w:lang w:val="nl-NL"/>
        </w:rPr>
        <w:t>Pedaalomvang</w:t>
      </w:r>
    </w:p>
    <w:p>
      <w:pPr>
        <w:pStyle w:val="T1"/>
        <w:rPr>
          <w:lang w:val="nl-NL"/>
        </w:rPr>
      </w:pPr>
      <w:r>
        <w:rPr>
          <w:lang w:val="nl-NL"/>
        </w:rPr>
        <w:t>C-h</w:t>
      </w:r>
    </w:p>
    <w:p>
      <w:pPr>
        <w:pStyle w:val="T1"/>
        <w:rPr>
          <w:lang w:val="nl-NL"/>
        </w:rPr>
      </w:pPr>
      <w:r>
        <w:rPr>
          <w:lang w:val="nl-NL"/>
        </w:rPr>
      </w:r>
    </w:p>
    <w:p>
      <w:pPr>
        <w:pStyle w:val="T1"/>
        <w:rPr>
          <w:lang w:val="nl-NL"/>
        </w:rPr>
      </w:pPr>
      <w:r>
        <w:rPr>
          <w:lang w:val="nl-NL"/>
        </w:rPr>
        <w:t>Windvoorziening</w:t>
      </w:r>
    </w:p>
    <w:p>
      <w:pPr>
        <w:pStyle w:val="T1"/>
        <w:rPr>
          <w:lang w:val="nl-NL"/>
        </w:rPr>
      </w:pPr>
      <w:r>
        <w:rPr>
          <w:lang w:val="nl-NL"/>
        </w:rPr>
        <w:t>magazijnbalg met twee schepbalgen en handpomp (1880)</w:t>
      </w:r>
    </w:p>
    <w:p>
      <w:pPr>
        <w:pStyle w:val="T1"/>
        <w:rPr>
          <w:lang w:val="nl-NL"/>
        </w:rPr>
      </w:pPr>
      <w:r>
        <w:rPr>
          <w:lang w:val="nl-NL"/>
        </w:rPr>
        <w:t>Winddruk</w:t>
      </w:r>
    </w:p>
    <w:p>
      <w:pPr>
        <w:pStyle w:val="T1"/>
        <w:rPr>
          <w:lang w:val="nl-NL"/>
        </w:rPr>
      </w:pPr>
      <w:r>
        <w:rPr>
          <w:lang w:val="nl-NL"/>
        </w:rPr>
        <w:t xml:space="preserve">   </w:t>
      </w:r>
      <w:r>
        <w:rPr>
          <w:lang w:val="nl-NL"/>
        </w:rPr>
        <w:t>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rPr>
          <w:i/>
          <w:i/>
          <w:iCs/>
          <w:lang w:val="nl-NL"/>
        </w:rPr>
      </w:pPr>
      <w:r>
        <w:rPr>
          <w:i/>
          <w:iCs/>
          <w:lang w:val="nl-NL"/>
        </w:rPr>
      </w:r>
    </w:p>
    <w:p>
      <w:pPr>
        <w:pStyle w:val="T1"/>
        <w:jc w:val="start"/>
        <w:rPr/>
      </w:pPr>
      <w:r>
        <w:rPr>
          <w:lang w:val="nl-NL"/>
        </w:rPr>
        <w:t>In het front spreken pijpen van de Prestant 8' (F-f</w:t>
      </w:r>
      <w:r>
        <w:rPr>
          <w:vertAlign w:val="superscript"/>
          <w:lang w:val="nl-NL"/>
        </w:rPr>
        <w:t>1</w:t>
      </w:r>
      <w:r>
        <w:rPr>
          <w:lang w:val="nl-NL"/>
        </w:rPr>
        <w:t xml:space="preserve"> in de twee torens en het middenveld) en van de Viola di Gamba 8' (c-h in de buitenste velden).</w:t>
      </w:r>
    </w:p>
    <w:p>
      <w:pPr>
        <w:pStyle w:val="T1"/>
        <w:jc w:val="start"/>
        <w:rPr/>
      </w:pPr>
      <w:r>
        <w:rPr>
          <w:lang w:val="nl-NL"/>
        </w:rPr>
        <w:t>De windlade is van eiken, inclusief stokken en roosters. De cancelvolgorde is chromatisch, als volgt: C-Gis g</w:t>
      </w:r>
      <w:r>
        <w:rPr>
          <w:vertAlign w:val="superscript"/>
          <w:lang w:val="nl-NL"/>
        </w:rPr>
        <w:t>3</w:t>
      </w:r>
      <w:r>
        <w:rPr>
          <w:lang w:val="nl-NL"/>
        </w:rPr>
        <w:t>-A (A aan klaviatuurzijde). Voor de Prestant 8' is een kantsleep aangebracht.</w:t>
      </w:r>
    </w:p>
    <w:p>
      <w:pPr>
        <w:pStyle w:val="T1"/>
        <w:jc w:val="start"/>
        <w:rPr>
          <w:lang w:val="nl-NL"/>
        </w:rPr>
      </w:pPr>
      <w:r>
        <w:rPr>
          <w:lang w:val="nl-NL"/>
        </w:rPr>
        <w:t>De windkanalen zijn van eiken, de tremulant is inliggend.</w:t>
      </w:r>
    </w:p>
    <w:p>
      <w:pPr>
        <w:pStyle w:val="T1"/>
        <w:jc w:val="start"/>
        <w:rPr>
          <w:lang w:val="nl-NL"/>
        </w:rPr>
      </w:pPr>
      <w:r>
        <w:rPr>
          <w:lang w:val="nl-NL"/>
        </w:rPr>
        <w:t>De Prestant 8' begint op F. De Viola di Gamba 8' is van C-H gecombineerd met de Holpijp en is vanaf c van tin. C-G van de Holpijp 8' zijn van eiken. De Fluit d’amour 4' is in de bas gedekt en in de discant open, licht conisch.</w:t>
      </w:r>
    </w:p>
    <w:p>
      <w:pPr>
        <w:pStyle w:val="T1"/>
        <w:jc w:val="start"/>
        <w:rPr/>
      </w:pPr>
      <w:r>
        <w:rPr>
          <w:lang w:val="nl-NL"/>
        </w:rPr>
        <w:t>Expressions zijn toegepast bij alle binnenpijpen van de Prestant 8', de Viola di Gamba 8' en verder bij de Octaav 4' (C-h), de Quintprestant 3' (C-e), de Octaav 2' (C-H) en de Fluit d’Amour 4' (c</w:t>
      </w:r>
      <w:r>
        <w:rPr>
          <w:vertAlign w:val="superscript"/>
          <w:lang w:val="nl-NL"/>
        </w:rPr>
        <w:t>1</w:t>
      </w:r>
      <w:r>
        <w:rPr>
          <w:lang w:val="nl-NL"/>
        </w:rPr>
        <w:t>-f</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2006-04-25T12:51:00Z</dcterms:created>
  <dc:creator>WS1</dc:creator>
  <dc:description/>
  <dc:language>en-US</dc:language>
  <cp:lastModifiedBy>WS1</cp:lastModifiedBy>
  <dcterms:modified xsi:type="dcterms:W3CDTF">2006-04-25T12:51:00Z</dcterms:modified>
  <cp:revision>2</cp:revision>
  <dc:subject/>
  <dc:title>Ouwsterhaule / 1880</dc:title>
</cp:coreProperties>
</file>