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Steenwijk / 1880</w:t>
      </w:r>
    </w:p>
    <w:p>
      <w:pPr>
        <w:pStyle w:val="Heading2"/>
        <w:ind w:start="0" w:end="0" w:hanging="0"/>
        <w:rPr>
          <w:i w:val="false"/>
          <w:i w:val="false"/>
          <w:iCs/>
        </w:rPr>
      </w:pPr>
      <w:r>
        <w:rPr>
          <w:i w:val="false"/>
          <w:iCs/>
        </w:rPr>
        <w:t>Kleine Kerk (Vrijgemaakt Gereformeerde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rPr>
      </w:pPr>
      <w:r>
        <w:rPr>
          <w:rFonts w:cs="Times New Roman" w:ascii="Times New Roman" w:hAnsi="Times New Roman"/>
          <w:i/>
          <w:iCs/>
          <w:spacing w:val="-3"/>
        </w:rPr>
        <w:t>Driebeukige pseudobasiliek met driezijdig gesloten koor. Westgevel met spitsboognis in de topgevel; daarboven een gedeeltelijk nog gotische geveltoren. De kerk wordt overdekt door stenen kruisribgewelven. Het baksteenwerk van de middenbeuk is in het zicht gelaten. In de lichtbeuk getraceerde spitsboognissen. Preekstoel uit 1654.</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1880</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In 1873 bouwde Petrus van Oeckelen een orgel voor de Hervormde Kerk te Westervoort met een opmerkelijk neogotisch front. Dit omvatte drie torens met vrij rijke spitsen en twee tussenvelden met wimbergen en verhoogde pijpstokken. Het instrument bleef elders voor een groot deel bewaard, maar het front is reeds lang geleden verloren gegaan. Van Petrus van Oeckelen zijn verder slechts twee neogotische orgelfronten bekend, beide uit het zelfde jaar 1873 en vrijwel identiek, één voor Leermens (door brand verwoest) en één voor Westeremden (deel 1872-1878, 121-122). Zij hadden een heel ander karakter dan dat van Westervoort.</w:t>
      </w:r>
    </w:p>
    <w:p>
      <w:pPr>
        <w:pStyle w:val="T2Kunst"/>
        <w:jc w:val="start"/>
        <w:rPr>
          <w:lang w:val="nl-NL"/>
        </w:rPr>
      </w:pPr>
      <w:r>
        <w:rPr>
          <w:lang w:val="nl-NL"/>
        </w:rPr>
        <w:t>Dit laatste frontmodel wordt door de gebroeders Van Oeckelen opnieuw toegepast in Steenwijk. Hun versie is slanker dan die van hun vader; de tussenvelden zijn smaller en de middentoren is hoger. Daardoor is het geheel beter geproportioneerd.</w:t>
      </w:r>
    </w:p>
    <w:p>
      <w:pPr>
        <w:pStyle w:val="T2Kunst"/>
        <w:jc w:val="start"/>
        <w:rPr/>
      </w:pPr>
      <w:r>
        <w:rPr>
          <w:lang w:val="nl-NL"/>
        </w:rPr>
        <w:t xml:space="preserve">De decoratie is geheel in de geest van de vroege, decoratieve neogotiek. Men lette op het vlakke snijwerk op de wimbergen: een rozet met zespas, omgeven door driehoeken met toten. De wimbergen worden afgebiesd met rankwerk en hogels en worden bekroond door een eigenaardig plantaardig motief. De blinderingen aan de pijpuiteinden in de velden bestaan uit toten. Onder de pijpvelden is een fries van rozetten met vierpassen aangebracht. Ook hier vallen de vlakke vormen op. In de onderkas ziet men smalle panelen met daarin een driepasboog, waarboven een ruit met vierpas. Ook hier weer de vlakke in wezen neoclassicistische vormen. In de borstwering van de orgelgaanderij zijn reeksen spitsbogen te zien. Onder de torens zijn afhangende spitsboogjes aangebracht en verder een zich sterk versmallende </w:t>
      </w:r>
      <w:r>
        <w:rPr>
          <w:i/>
          <w:iCs/>
          <w:lang w:val="nl-NL"/>
        </w:rPr>
        <w:t>cul de lampe</w:t>
      </w:r>
      <w:r>
        <w:rPr>
          <w:lang w:val="nl-NL"/>
        </w:rPr>
        <w:t xml:space="preserve"> die eindigt in een geabstraheerd plantaardig element.</w:t>
      </w:r>
    </w:p>
    <w:p>
      <w:pPr>
        <w:pStyle w:val="T2Kunst"/>
        <w:jc w:val="start"/>
        <w:rPr/>
      </w:pPr>
      <w:r>
        <w:rPr>
          <w:lang w:val="nl-NL"/>
        </w:rPr>
        <w:t xml:space="preserve">Het meest spectaculair zijn de bekroningen van de torens. Als bovenblindering van de middentoren fungeren wimbergen met onderin uitgespaarde spitsboogjes. Deze wimbergen worden geflankeerd door pinakels die zijn versierd met korte takken. De wimbergen vormen de overgang naar de eerste geleding van een veelhoekige toren </w:t>
      </w:r>
      <w:r>
        <w:rPr>
          <w:i/>
          <w:iCs/>
          <w:lang w:val="nl-NL"/>
        </w:rPr>
        <w:t>à la cathédrale</w:t>
      </w:r>
      <w:r>
        <w:rPr>
          <w:lang w:val="nl-NL"/>
        </w:rPr>
        <w:t>. Daarin treft men dezelfde vormen aan als bij de eigenlijke blindering, maar dan opengewerkt. De tweede geleding is iets smaller, maar vertoont dezelfde vormen. Het geheel wordt bekroond door een steile spits met spaarzaam aangebrachte hogels, en een forse kruisbloem. De bekroningen van de zijtorens hebben slechts één geleding, maar zijn verder identiek.</w:t>
      </w:r>
    </w:p>
    <w:p>
      <w:pPr>
        <w:pStyle w:val="T2Kunst"/>
        <w:jc w:val="start"/>
        <w:rPr>
          <w:lang w:val="nl-NL"/>
        </w:rPr>
      </w:pPr>
      <w:r>
        <w:rPr>
          <w:lang w:val="nl-NL"/>
        </w:rPr>
        <w:t>De ontwerper heeft hier met grote vrijmoedigheid gotische elementen naar zijn hand gezet en tot iets geheel eigens verwerkt. Deze torens passen geheel in de romantische kathedraal-fantasieën die vooral in de eerste helft van de 19e eeuw in zwang waren. Opmerkelijk dat dergelijke visioenen hier nog leefden in 1880, toen de orthodoxe constructieve neogotiek van architecten als Cuypers en Tepe reeds diepe sporen had getrokken. Deze gotiekinterpretatie was in Nederland echter vooral een rooms-katholieke zaak, waar protestanten zich beduidend minder van aantrokken. Zo kon hier een uniek kunstwerk ontstaan.</w:t>
      </w:r>
    </w:p>
    <w:p>
      <w:pPr>
        <w:pStyle w:val="T2Kunst"/>
        <w:jc w:val="start"/>
        <w:rPr>
          <w:lang w:val="nl-NL"/>
        </w:rPr>
      </w:pPr>
      <w:r>
        <w:rPr>
          <w:lang w:val="nl-NL"/>
        </w:rPr>
        <w:t>De gebroeders Van Oeckelen leverden ook het tochtportaal onder het orgel, een bijna perfect voorbeeld van neoclassicistisch beïnvloede neogotiek. Wie het heeft vervaardigd is niet bekend.</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De Orgelkrant</w:t>
      </w:r>
      <w:r>
        <w:rPr>
          <w:lang w:val="nl-NL"/>
        </w:rPr>
        <w:t>, 7/3 (2002), 7.</w:t>
      </w:r>
    </w:p>
    <w:p>
      <w:pPr>
        <w:pStyle w:val="T3Lit"/>
        <w:jc w:val="start"/>
        <w:rPr/>
      </w:pPr>
      <w:r>
        <w:rPr>
          <w:lang w:val="nl-NL"/>
        </w:rPr>
        <w:t xml:space="preserve">Maarten Seijbel, </w:t>
      </w:r>
      <w:r>
        <w:rPr>
          <w:i/>
          <w:lang w:val="nl-NL"/>
        </w:rPr>
        <w:t>Orgels in Overijssel</w:t>
      </w:r>
      <w:r>
        <w:rPr>
          <w:lang w:val="nl-NL"/>
        </w:rPr>
        <w:t>. Elburg, 1965, 124.</w:t>
      </w:r>
    </w:p>
    <w:p>
      <w:pPr>
        <w:pStyle w:val="T3Lit"/>
        <w:jc w:val="start"/>
        <w:rPr/>
      </w:pPr>
      <w:r>
        <w:rPr>
          <w:i/>
          <w:iCs/>
          <w:lang w:val="nl-NL"/>
        </w:rPr>
        <w:t>Stemmen voor Waarheid en Vrede</w:t>
      </w:r>
      <w:r>
        <w:rPr>
          <w:lang w:val="nl-NL"/>
        </w:rPr>
        <w:t>, 1880 II, 126.</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pPr>
      <w:r>
        <w:rPr>
          <w:lang w:val="nl-NL"/>
        </w:rPr>
        <w:t xml:space="preserve">A. van Beek, </w:t>
      </w:r>
      <w:r>
        <w:rPr>
          <w:i/>
          <w:iCs/>
          <w:lang w:val="nl-NL"/>
        </w:rPr>
        <w:t>Rapport ten behoeve van een restauratie van het orgel in de Kleine Kerk te Steenwijk</w:t>
      </w:r>
      <w:r>
        <w:rPr>
          <w:lang w:val="nl-NL"/>
        </w:rPr>
        <w:t>. Zwolle, 1994.</w:t>
      </w:r>
    </w:p>
    <w:p>
      <w:pPr>
        <w:pStyle w:val="T3Lit"/>
        <w:jc w:val="start"/>
        <w:rPr>
          <w:lang w:val="nl-NL"/>
        </w:rPr>
      </w:pPr>
      <w:r>
        <w:rPr>
          <w:lang w:val="nl-NL"/>
        </w:rPr>
        <w:t>Archief Orgelmakerij Bakker &amp; Timmenga.</w:t>
      </w:r>
    </w:p>
    <w:p>
      <w:pPr>
        <w:pStyle w:val="T3Lit"/>
        <w:jc w:val="start"/>
        <w:rPr>
          <w:lang w:val="nl-NL"/>
        </w:rPr>
      </w:pPr>
      <w:r>
        <w:rPr>
          <w:lang w:val="nl-NL"/>
        </w:rPr>
        <w:t>Orgelarchief Peter van Dijk.</w:t>
      </w:r>
    </w:p>
    <w:p>
      <w:pPr>
        <w:pStyle w:val="T3Lit"/>
        <w:jc w:val="start"/>
        <w:rPr>
          <w:lang w:val="nl-NL"/>
        </w:rPr>
      </w:pPr>
      <w:r>
        <w:rPr>
          <w:lang w:val="nl-NL"/>
        </w:rPr>
      </w:r>
    </w:p>
    <w:p>
      <w:pPr>
        <w:pStyle w:val="T3Lit"/>
        <w:jc w:val="start"/>
        <w:rPr>
          <w:lang w:val="nl-NL"/>
        </w:rPr>
      </w:pPr>
      <w:r>
        <w:rPr>
          <w:lang w:val="nl-NL"/>
        </w:rPr>
        <w:t>Monumentnummer 34599</w:t>
      </w:r>
    </w:p>
    <w:p>
      <w:pPr>
        <w:pStyle w:val="T3Lit"/>
        <w:jc w:val="start"/>
        <w:rPr>
          <w:lang w:val="nl-NL"/>
        </w:rPr>
      </w:pPr>
      <w:r>
        <w:rPr>
          <w:lang w:val="nl-NL"/>
        </w:rPr>
        <w:t>Orgelnummer 1405</w:t>
      </w:r>
    </w:p>
    <w:p>
      <w:pPr>
        <w:pStyle w:val="T1"/>
        <w:jc w:val="star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1880</w:t>
      </w:r>
    </w:p>
    <w:p>
      <w:pPr>
        <w:pStyle w:val="T1"/>
        <w:jc w:val="start"/>
        <w:rPr>
          <w:lang w:val="nl-NL"/>
        </w:rPr>
      </w:pPr>
      <w:r>
        <w:rPr>
          <w:lang w:val="nl-NL"/>
        </w:rPr>
      </w:r>
    </w:p>
    <w:p>
      <w:pPr>
        <w:pStyle w:val="T1"/>
        <w:jc w:val="start"/>
        <w:rPr>
          <w:lang w:val="nl-NL"/>
        </w:rPr>
      </w:pPr>
      <w:r>
        <w:rPr>
          <w:lang w:val="nl-NL"/>
        </w:rPr>
        <w:t>Orgelmakerij Bakker &amp; Timmenga 2002</w:t>
      </w:r>
    </w:p>
    <w:p>
      <w:pPr>
        <w:pStyle w:val="T1"/>
        <w:jc w:val="start"/>
        <w:rPr>
          <w:lang w:val="nl-NL"/>
        </w:rPr>
      </w:pPr>
      <w:r>
        <w:rPr>
          <w:lang w:val="nl-NL"/>
        </w:rPr>
        <w:t>.</w:t>
        <w:tab/>
        <w:t>restauratie</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aangehangen pedaal</w:t>
      </w:r>
    </w:p>
    <w:p>
      <w:pPr>
        <w:pStyle w:val="T1"/>
        <w:jc w:val="start"/>
        <w:rPr>
          <w:lang w:val="nl-NL"/>
        </w:rPr>
      </w:pPr>
      <w:r>
        <w:rPr>
          <w:lang w:val="nl-NL"/>
        </w:rPr>
      </w:r>
    </w:p>
    <w:p>
      <w:pPr>
        <w:pStyle w:val="T1"/>
        <w:jc w:val="start"/>
        <w:rPr/>
      </w:pPr>
      <w:r>
        <w:rPr/>
        <w:t>Dispositie</w:t>
      </w:r>
    </w:p>
    <w:tbl>
      <w:tblPr>
        <w:tblW w:w="4297" w:type="dxa"/>
        <w:jc w:val="start"/>
        <w:tblInd w:w="0" w:type="dxa"/>
        <w:tblLayout w:type="fixed"/>
        <w:tblCellMar>
          <w:top w:w="0" w:type="dxa"/>
          <w:start w:w="70" w:type="dxa"/>
          <w:bottom w:w="0" w:type="dxa"/>
          <w:end w:w="70" w:type="dxa"/>
        </w:tblCellMar>
      </w:tblPr>
      <w:tblGrid>
        <w:gridCol w:w="1600"/>
        <w:gridCol w:w="480"/>
        <w:gridCol w:w="1737"/>
        <w:gridCol w:w="480"/>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Violon 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Spitsfluit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Trompet</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tc>
        <w:tc>
          <w:tcPr>
            <w:tcW w:w="1737" w:type="dxa"/>
            <w:tcBorders/>
          </w:tcPr>
          <w:p>
            <w:pPr>
              <w:pStyle w:val="T4dispositie"/>
              <w:jc w:val="start"/>
              <w:rPr>
                <w:i/>
                <w:i/>
                <w:iCs/>
                <w:lang w:val="nl-NL"/>
              </w:rPr>
            </w:pPr>
            <w:r>
              <w:rPr>
                <w:i/>
                <w:iCs/>
                <w:lang w:val="nl-NL"/>
              </w:rPr>
              <w:t>Bovenwerk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Violoncel D</w:t>
            </w:r>
          </w:p>
          <w:p>
            <w:pPr>
              <w:pStyle w:val="T4dispositie"/>
              <w:jc w:val="start"/>
              <w:rPr>
                <w:lang w:val="nl-NL"/>
              </w:rPr>
            </w:pPr>
            <w:r>
              <w:rPr>
                <w:lang w:val="nl-NL"/>
              </w:rPr>
              <w:t>Holfluid</w:t>
            </w:r>
          </w:p>
          <w:p>
            <w:pPr>
              <w:pStyle w:val="T4dispositie"/>
              <w:jc w:val="start"/>
              <w:rPr>
                <w:lang w:val="nl-NL"/>
              </w:rPr>
            </w:pPr>
            <w:r>
              <w:rPr>
                <w:lang w:val="nl-NL"/>
              </w:rPr>
              <w:t>Quintadena</w:t>
            </w:r>
          </w:p>
          <w:p>
            <w:pPr>
              <w:pStyle w:val="T4dispositie"/>
              <w:jc w:val="start"/>
              <w:rPr>
                <w:lang w:val="nl-NL"/>
              </w:rPr>
            </w:pPr>
            <w:r>
              <w:rPr>
                <w:lang w:val="nl-NL"/>
              </w:rPr>
              <w:t>Salicionaal</w:t>
            </w:r>
          </w:p>
          <w:p>
            <w:pPr>
              <w:pStyle w:val="T4dispositie"/>
              <w:jc w:val="start"/>
              <w:rPr>
                <w:lang w:val="nl-NL"/>
              </w:rPr>
            </w:pPr>
            <w:r>
              <w:rPr>
                <w:lang w:val="nl-NL"/>
              </w:rPr>
              <w:t>Viola di Gamba</w:t>
            </w:r>
          </w:p>
          <w:p>
            <w:pPr>
              <w:pStyle w:val="T4dispositie"/>
              <w:jc w:val="start"/>
              <w:rPr>
                <w:lang w:val="nl-NL"/>
              </w:rPr>
            </w:pPr>
            <w:r>
              <w:rPr>
                <w:lang w:val="nl-NL"/>
              </w:rPr>
              <w:t>Fluit</w:t>
            </w:r>
          </w:p>
          <w:p>
            <w:pPr>
              <w:pStyle w:val="T4dispositie"/>
              <w:jc w:val="start"/>
              <w:rPr>
                <w:lang w:val="nl-NL"/>
              </w:rPr>
            </w:pPr>
            <w:r>
              <w:rPr>
                <w:lang w:val="nl-NL"/>
              </w:rPr>
              <w:t>Pikelo</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pPr>
      <w:r>
        <w:rPr/>
      </w:r>
    </w:p>
    <w:p>
      <w:pPr>
        <w:pStyle w:val="T1"/>
        <w:jc w:val="start"/>
        <w:rPr>
          <w:lang w:val="nl-NL"/>
        </w:rPr>
      </w:pPr>
      <w:r>
        <w:rPr>
          <w:lang w:val="nl-NL"/>
        </w:rPr>
        <w:t>Werktuiglijke registers</w:t>
      </w:r>
    </w:p>
    <w:p>
      <w:pPr>
        <w:pStyle w:val="T1"/>
        <w:jc w:val="start"/>
        <w:rPr>
          <w:lang w:val="nl-NL"/>
        </w:rPr>
      </w:pPr>
      <w:r>
        <w:rPr>
          <w:lang w:val="nl-NL"/>
        </w:rPr>
        <w:t>manuaalkoppel</w:t>
      </w:r>
    </w:p>
    <w:p>
      <w:pPr>
        <w:pStyle w:val="T1"/>
        <w:jc w:val="start"/>
        <w:rPr>
          <w:lang w:val="nl-NL"/>
        </w:rPr>
      </w:pPr>
      <w:r>
        <w:rPr>
          <w:lang w:val="nl-NL"/>
        </w:rPr>
        <w:t>afsluitingen HW, BW</w:t>
      </w:r>
    </w:p>
    <w:p>
      <w:pPr>
        <w:pStyle w:val="T1"/>
        <w:jc w:val="start"/>
        <w:rPr>
          <w:lang w:val="nl-NL"/>
        </w:rPr>
      </w:pPr>
      <w:r>
        <w:rPr>
          <w:lang w:val="nl-NL"/>
        </w:rPr>
        <w:t>windlosser</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in- en uitspringende vouw, twee schepbalgen, twee schokbalgen en handpomp (1880)</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discantregisters beginnen op c</w:t>
      </w:r>
      <w:r>
        <w:rPr>
          <w:vertAlign w:val="superscript"/>
          <w:lang w:val="nl-NL"/>
        </w:rPr>
        <w:t>1</w:t>
      </w:r>
      <w:r>
        <w:rPr>
          <w:lang w:val="nl-NL"/>
        </w:rPr>
        <w:t>.</w:t>
      </w:r>
    </w:p>
    <w:p>
      <w:pPr>
        <w:pStyle w:val="T1"/>
        <w:jc w:val="start"/>
        <w:rPr>
          <w:lang w:val="nl-NL"/>
        </w:rPr>
      </w:pPr>
      <w:r>
        <w:rPr>
          <w:lang w:val="nl-NL"/>
        </w:rPr>
        <w:t>De registertrekkers zijn aangebracht in een horizontale rij boven de muzieklessenaar (windlosser en hoofdwerkregisters) en twee verticale rijen ter weerszijden van de muzieklessenaar (bovenwerk- en overige werktuiglijke registers). De porseleinen registerplaatjes zijn op de registerknoppen gelijmd. De bakstukken van het manuaal zijn van het bij Van Oeckelen gebruikelijke model, belegd met ivoor en ebbenhout.</w:t>
      </w:r>
    </w:p>
    <w:p>
      <w:pPr>
        <w:pStyle w:val="T1"/>
        <w:jc w:val="start"/>
        <w:rPr/>
      </w:pPr>
      <w:r>
        <w:rPr>
          <w:lang w:val="nl-NL"/>
        </w:rPr>
        <w:t>De Prestant 8' (HW) staat van C-g in het front. Houten (eiken) pijpwerk bevindt zich in de Bourdon 16' (C-h) en de Holpijp 8' (C-H) van het HW. De Spitsfluit 4' en Quint(fluit) 3' zijn conisch, open. De Quintadena 8' (BW) is van C-E gecombineerd met de Holfluid. De Holfluid 8' is van C-c gedekt, en verder open, cilindrisch. De Fluit 4' is van C-f</w:t>
      </w:r>
      <w:r>
        <w:rPr>
          <w:vertAlign w:val="superscript"/>
          <w:lang w:val="nl-NL"/>
        </w:rPr>
        <w:t>2</w:t>
      </w:r>
      <w:r>
        <w:rPr>
          <w:lang w:val="nl-NL"/>
        </w:rPr>
        <w:t xml:space="preserve"> gedekt; het vervolg is open, conisch. De Pikelo 2' is geheel cilindrisch, open en vanaf c overblazend.</w:t>
      </w:r>
    </w:p>
    <w:p>
      <w:pPr>
        <w:pStyle w:val="T1"/>
        <w:jc w:val="start"/>
        <w:rPr/>
      </w:pPr>
      <w:r>
        <w:rPr>
          <w:lang w:val="nl-NL"/>
        </w:rPr>
        <w:t>Expressions zijn aangebracht in de volgende registers: HW Violon D 16' (geheel), Prestant 8' (C-b</w:t>
      </w:r>
      <w:r>
        <w:rPr>
          <w:vertAlign w:val="superscript"/>
          <w:lang w:val="nl-NL"/>
        </w:rPr>
        <w:t>2</w:t>
      </w:r>
      <w:r>
        <w:rPr>
          <w:lang w:val="nl-NL"/>
        </w:rPr>
        <w:t>; vervolg op lengte afgesneden), Octaaf 4' (C-h</w:t>
      </w:r>
      <w:r>
        <w:rPr>
          <w:vertAlign w:val="superscript"/>
          <w:lang w:val="nl-NL"/>
        </w:rPr>
        <w:t>1</w:t>
      </w:r>
      <w:r>
        <w:rPr>
          <w:lang w:val="nl-NL"/>
        </w:rPr>
        <w:t>; vervolg op lengte afgesneden), Quint(fluit) 3' (C-c; vervolg op lengte afgesneden) en Octaaf 2' (C-h; vervolg op lengte afgesneden); BW Violoncel D 16' (geheel), Holfluid 8 (cis-dis</w:t>
      </w:r>
      <w:r>
        <w:rPr>
          <w:vertAlign w:val="superscript"/>
          <w:lang w:val="nl-NL"/>
        </w:rPr>
        <w:t>2</w:t>
      </w:r>
      <w:r>
        <w:rPr>
          <w:lang w:val="nl-NL"/>
        </w:rPr>
        <w:t>; vervolg met stemkrul), Salicionaal 8' (C-gis</w:t>
      </w:r>
      <w:r>
        <w:rPr>
          <w:vertAlign w:val="superscript"/>
          <w:lang w:val="nl-NL"/>
        </w:rPr>
        <w:t>2</w:t>
      </w:r>
      <w:r>
        <w:rPr>
          <w:lang w:val="nl-NL"/>
        </w:rPr>
        <w:t>; vervolg met stemkrul), Viola di Gamba 8' (C-gis</w:t>
      </w:r>
      <w:r>
        <w:rPr>
          <w:vertAlign w:val="superscript"/>
          <w:lang w:val="nl-NL"/>
        </w:rPr>
        <w:t>2</w:t>
      </w:r>
      <w:r>
        <w:rPr>
          <w:lang w:val="nl-NL"/>
        </w:rPr>
        <w:t>; vervolg met stemkrul) en Pikelo 2' (C-H, c-h deels; overige pijpen tot cis</w:t>
      </w:r>
      <w:r>
        <w:rPr>
          <w:vertAlign w:val="superscript"/>
          <w:lang w:val="nl-NL"/>
        </w:rPr>
        <w:t>2</w:t>
      </w:r>
      <w:r>
        <w:rPr>
          <w:lang w:val="nl-NL"/>
        </w:rPr>
        <w:t xml:space="preserve"> met stemkrul; vervolg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Kop"/>
    <w:next w:val="Subtitle"/>
    <w:qFormat/>
    <w:pPr>
      <w:jc w:val="center"/>
    </w:pPr>
    <w:rPr>
      <w:b/>
      <w:bCs/>
      <w:sz w:val="36"/>
      <w:szCs w:val="36"/>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Bijschrift">
    <w:name w:val="Bijschrift"/>
    <w:basedOn w:val="Normal"/>
    <w:qFormat/>
    <w:pPr>
      <w:suppressLineNumbers/>
      <w:spacing w:before="120" w:after="120"/>
    </w:pPr>
    <w:rPr>
      <w:rFonts w:cs="Tahoma"/>
      <w:i/>
      <w:iCs/>
      <w:sz w:val="20"/>
      <w:szCs w:val="20"/>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Subtitle">
    <w:name w:val="Subtitle"/>
    <w:basedOn w:val="Kop"/>
    <w:next w:val="TextBody"/>
    <w:qFormat/>
    <w:pPr>
      <w:jc w:val="center"/>
    </w:pPr>
    <w:rPr>
      <w:i/>
      <w:iCs/>
      <w:sz w:val="28"/>
      <w:szCs w:val="28"/>
    </w:rPr>
  </w:style>
  <w:style w:type="paragraph" w:styleId="WWTitel">
    <w:name w:val="WW-Titel"/>
    <w:basedOn w:val="Normal"/>
    <w:qFormat/>
    <w:pPr>
      <w:suppressLineNumbers/>
      <w:spacing w:before="120" w:after="120"/>
    </w:pPr>
    <w:rPr>
      <w:rFonts w:cs="Tahoma"/>
      <w:i/>
      <w:iCs/>
      <w:sz w:val="20"/>
      <w:szCs w:val="20"/>
    </w:rPr>
  </w:style>
  <w:style w:type="paragraph" w:styleId="WWIndex">
    <w:name w:val="WW-Index"/>
    <w:basedOn w:val="Normal"/>
    <w:qFormat/>
    <w:pPr>
      <w:suppressLineNumbers/>
    </w:pPr>
    <w:rPr>
      <w:rFonts w:cs="Tahoma"/>
    </w:rPr>
  </w:style>
  <w:style w:type="paragraph" w:styleId="WWKop">
    <w:name w:val="WW-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WWInhoudtabel">
    <w:name w:val="WW-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WWTabelkop">
    <w:name w:val="WW-Tabelkop"/>
    <w:basedOn w:val="WWInhoudtabel"/>
    <w:qFormat/>
    <w:pPr>
      <w:suppressLineNumbers/>
      <w:jc w:val="center"/>
    </w:pPr>
    <w:rPr>
      <w:b/>
      <w:bCs/>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2006-04-25T12:53:00Z</dcterms:created>
  <dc:creator>WS1</dc:creator>
  <dc:description/>
  <dc:language>en-US</dc:language>
  <cp:lastModifiedBy>WS1</cp:lastModifiedBy>
  <dcterms:modified xsi:type="dcterms:W3CDTF">2006-04-25T12:53:00Z</dcterms:modified>
  <cp:revision>2</cp:revision>
  <dc:subject/>
  <dc:title>Steenwijk / 1880</dc:title>
</cp:coreProperties>
</file>