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Westbeemster / 1880</w:t>
      </w:r>
    </w:p>
    <w:p>
      <w:pPr>
        <w:pStyle w:val="Heading2"/>
        <w:rPr>
          <w:i w:val="false"/>
          <w:i w:val="false"/>
          <w:iCs/>
        </w:rPr>
      </w:pPr>
      <w:r>
        <w:rPr>
          <w:i w:val="false"/>
          <w:iCs/>
        </w:rPr>
        <w:t>R.K. Kerk St-Johannes de Doper</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Neogotische kruisbasiliek met toren met spits met frontalen, gebouwd in 1878-1879 naar ontwerp van Y. Bijvoets. Inwendig stenen kruisribgewelven. Inrichting uit de bouwtijd.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laat voorbeeld van de invloed van het rugpositief van het Utrechtse Domorgel uit 1831 (deel 1819-1840, 274-277). De opbouw is duidelijk daaraan verwant, maar de ontwerper geeft een geheel eigen uitwerking aan het concept. In beide gevallen ziet men in het midden een breed veld, geflankeerd door smalle tussenvelden en ronde torens, het geheel bekroond door een grote wimberg. In Utrecht wordt het middenveld in tweeën gedeeld door een slanke zuil en heeft het labiumverloop de vorm van een omgekeerde kettinglijn. In Westbeemster ontbreekt de middenzuil en is het labiumverloop precies omgekeerd. In Utrecht zwenkt de bovenlijst van het middenveld in, bij het orgel in Westbeemster is het spitsbogig. De tussenvelden in Utrecht zijn tweedelig, in Beemster ongedeeld. Ook de torens zijn enigszins verschillend: in Utrecht bevatten zij zeven pijpen, in Beemster vijf. Zij worden beide bekroond door spitsen.</w:t>
      </w:r>
    </w:p>
    <w:p>
      <w:pPr>
        <w:pStyle w:val="T2Kunst"/>
        <w:jc w:val="start"/>
        <w:rPr>
          <w:lang w:val="nl-NL"/>
        </w:rPr>
      </w:pPr>
      <w:r>
        <w:rPr>
          <w:lang w:val="nl-NL"/>
        </w:rPr>
        <w:t>Belangrijk is vooral de verschillende behandeling van de bekronende wimberg. In Utrecht is deze doorluchtig en geplaatst tussen de beide torens. In Beemster is de opbouw iets gecompliceerder. De zijstijlen van het middenveld lopen uit in forse pinakels waartussen de door een kruisbloem bekroonde wimberg is geplaatst; deze wordt ook nog eens omvat door een rechthoekige omlijsting. Hij bevat een groot open rozet met wentelend traceerwerk en in de zwikken rozetten met vierpassen. Boven de zijvelden zijn schuine met snijwerk versierde panelen aangebracht, met hogels op hun bovenlijsten. Deze bovenlijsten lopen met een lichte knik door in de bovenlijsten van de wimberg boven het middenveld. Het totale effect van de bekroning is dus toch dat van een grote wimberg tussen de torens, vergelijkbaar met Utrecht. Fraai is nog het gecompliceerde vegetatieve rankwerk aan de pijpuiteinden in het middenveld.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Hans van der Harst, ‘Het orgel in de kerk van St. Joannes de Doper te West-Beemster’. </w:t>
      </w:r>
      <w:r>
        <w:rPr>
          <w:i/>
          <w:lang w:val="nl-NL"/>
        </w:rPr>
        <w:t>Het Orgel</w:t>
      </w:r>
      <w:r>
        <w:rPr>
          <w:lang w:val="nl-NL"/>
        </w:rPr>
        <w:t>, 75/7 (1979), 259-263.</w:t>
      </w:r>
    </w:p>
    <w:p>
      <w:pPr>
        <w:pStyle w:val="T3Lit"/>
        <w:jc w:val="start"/>
        <w:rPr/>
      </w:pPr>
      <w:r>
        <w:rPr>
          <w:lang w:val="nl-NL"/>
        </w:rPr>
        <w:t xml:space="preserve">Jan Jongepier, Hans van Nieuwkoop, Willem Poot, </w:t>
      </w:r>
      <w:r>
        <w:rPr>
          <w:i/>
          <w:lang w:val="nl-NL"/>
        </w:rPr>
        <w:t>Orgels in Noord-Holland</w:t>
      </w:r>
      <w:r>
        <w:rPr>
          <w:lang w:val="nl-NL"/>
        </w:rPr>
        <w:t>. Schoorl, z.j. [1996], 167-168, 233.</w:t>
      </w:r>
    </w:p>
    <w:p>
      <w:pPr>
        <w:pStyle w:val="T3Lit"/>
        <w:jc w:val="start"/>
        <w:rPr>
          <w:lang w:val="nl-NL"/>
        </w:rPr>
      </w:pPr>
      <w:r>
        <w:rPr>
          <w:lang w:val="nl-NL"/>
        </w:rPr>
      </w:r>
    </w:p>
    <w:p>
      <w:pPr>
        <w:pStyle w:val="T3Lit"/>
        <w:jc w:val="start"/>
        <w:rPr>
          <w:lang w:val="nl-NL"/>
        </w:rPr>
      </w:pPr>
      <w:r>
        <w:rPr>
          <w:lang w:val="nl-NL"/>
        </w:rPr>
      </w:r>
    </w:p>
    <w:p>
      <w:pPr>
        <w:pStyle w:val="T3Lit"/>
        <w:jc w:val="start"/>
        <w:rPr>
          <w:lang w:val="nl-NL"/>
        </w:rPr>
      </w:pPr>
      <w:r>
        <w:rPr>
          <w:lang w:val="nl-NL"/>
        </w:rPr>
        <w:t>Monumentnummer 511342</w:t>
      </w:r>
    </w:p>
    <w:p>
      <w:pPr>
        <w:pStyle w:val="T3Lit"/>
        <w:jc w:val="start"/>
        <w:rPr>
          <w:lang w:val="nl-NL"/>
        </w:rPr>
      </w:pPr>
      <w:r>
        <w:rPr>
          <w:lang w:val="nl-NL"/>
        </w:rPr>
        <w:t>Orgelnummer 1637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Franssen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Jos. Vermeulen 1979</w:t>
      </w:r>
    </w:p>
    <w:p>
      <w:pPr>
        <w:pStyle w:val="T1"/>
        <w:jc w:val="start"/>
        <w:rPr>
          <w:lang w:val="nl-NL"/>
        </w:rPr>
      </w:pPr>
      <w:r>
        <w:rPr>
          <w:lang w:val="nl-NL"/>
        </w:rPr>
        <w:t>.</w:t>
        <w:tab/>
        <w:t>restauratie</w:t>
      </w:r>
    </w:p>
    <w:p>
      <w:pPr>
        <w:pStyle w:val="T1"/>
        <w:jc w:val="start"/>
        <w:rPr>
          <w:lang w:val="nl-NL"/>
        </w:rPr>
      </w:pPr>
      <w:r>
        <w:rPr>
          <w:lang w:val="nl-NL"/>
        </w:rPr>
        <w:t>.</w:t>
        <w:tab/>
        <w:t>frontpijpen gepolijst, labia verguld</w:t>
      </w:r>
    </w:p>
    <w:p>
      <w:pPr>
        <w:pStyle w:val="T1"/>
        <w:jc w:val="start"/>
        <w:rPr>
          <w:lang w:val="nl-NL"/>
        </w:rPr>
      </w:pPr>
      <w:r>
        <w:rPr>
          <w:lang w:val="nl-NL"/>
        </w:rPr>
        <w:t>.</w:t>
        <w:tab/>
        <w:t>kas, klaviatuur en mechanieken hersteld</w:t>
      </w:r>
    </w:p>
    <w:p>
      <w:pPr>
        <w:pStyle w:val="T1"/>
        <w:jc w:val="start"/>
        <w:rPr>
          <w:lang w:val="nl-NL"/>
        </w:rPr>
      </w:pPr>
      <w:r>
        <w:rPr>
          <w:lang w:val="nl-NL"/>
        </w:rPr>
        <w:t>.</w:t>
        <w:tab/>
        <w:t>balgen opnieuw beleerd</w:t>
      </w:r>
    </w:p>
    <w:p>
      <w:pPr>
        <w:pStyle w:val="T1"/>
        <w:jc w:val="start"/>
        <w:rPr>
          <w:lang w:val="nl-NL"/>
        </w:rPr>
      </w:pPr>
      <w:r>
        <w:rPr>
          <w:lang w:val="nl-NL"/>
        </w:rPr>
        <w:t>.</w:t>
        <w:tab/>
        <w:t>windladen gerestaureerd</w:t>
      </w:r>
    </w:p>
    <w:p>
      <w:pPr>
        <w:pStyle w:val="T1"/>
        <w:jc w:val="start"/>
        <w:rPr>
          <w:lang w:val="nl-NL"/>
        </w:rPr>
      </w:pPr>
      <w:r>
        <w:rPr>
          <w:lang w:val="nl-NL"/>
        </w:rPr>
        <w:t>.</w:t>
        <w:tab/>
        <w:t>pijpwerk hersteld; ontbrekende bekers Tuba 16' bijgemaakt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767" w:type="dxa"/>
        <w:jc w:val="start"/>
        <w:tblInd w:w="-70" w:type="dxa"/>
        <w:tblLayout w:type="fixed"/>
        <w:tblCellMar>
          <w:top w:w="0" w:type="dxa"/>
          <w:start w:w="70" w:type="dxa"/>
          <w:bottom w:w="0" w:type="dxa"/>
          <w:end w:w="70" w:type="dxa"/>
        </w:tblCellMar>
      </w:tblPr>
      <w:tblGrid>
        <w:gridCol w:w="1951"/>
        <w:gridCol w:w="825"/>
        <w:gridCol w:w="1791"/>
        <w:gridCol w:w="375"/>
        <w:gridCol w:w="1333"/>
        <w:gridCol w:w="492"/>
      </w:tblGrid>
      <w:tr>
        <w:trPr/>
        <w:tc>
          <w:tcPr>
            <w:tcW w:w="1951" w:type="dxa"/>
            <w:tcBorders/>
          </w:tcPr>
          <w:p>
            <w:pPr>
              <w:pStyle w:val="T4dispositie"/>
              <w:rPr>
                <w:i/>
                <w:i/>
                <w:iCs/>
              </w:rPr>
            </w:pPr>
            <w:r>
              <w:rPr>
                <w:i/>
                <w:iCs/>
              </w:rPr>
              <w:t>Hoofdwerk (I)</w:t>
            </w:r>
          </w:p>
          <w:p>
            <w:pPr>
              <w:pStyle w:val="T4dispositie"/>
              <w:rPr/>
            </w:pPr>
            <w:r>
              <w:rPr/>
              <w:t>12 stemmen</w:t>
            </w:r>
          </w:p>
          <w:p>
            <w:pPr>
              <w:pStyle w:val="T4dispositie"/>
              <w:rPr/>
            </w:pPr>
            <w:r>
              <w:rPr/>
            </w:r>
          </w:p>
          <w:p>
            <w:pPr>
              <w:pStyle w:val="T4dispositie"/>
              <w:rPr/>
            </w:pPr>
            <w:r>
              <w:rPr/>
              <w:t>Bourdon</w:t>
            </w:r>
          </w:p>
          <w:p>
            <w:pPr>
              <w:pStyle w:val="T4dispositie"/>
              <w:rPr/>
            </w:pPr>
            <w:r>
              <w:rPr/>
              <w:t>Violon D</w:t>
            </w:r>
          </w:p>
          <w:p>
            <w:pPr>
              <w:pStyle w:val="T4dispositie"/>
              <w:rPr/>
            </w:pPr>
            <w:r>
              <w:rPr/>
              <w:t>Principal</w:t>
            </w:r>
          </w:p>
          <w:p>
            <w:pPr>
              <w:pStyle w:val="T4dispositie"/>
              <w:rPr/>
            </w:pPr>
            <w:r>
              <w:rPr/>
              <w:t>Dolce</w:t>
            </w:r>
          </w:p>
          <w:p>
            <w:pPr>
              <w:pStyle w:val="T4dispositie"/>
              <w:rPr/>
            </w:pPr>
            <w:r>
              <w:rPr/>
              <w:t>Viola di Gamba</w:t>
            </w:r>
          </w:p>
          <w:p>
            <w:pPr>
              <w:pStyle w:val="T4dispositie"/>
              <w:rPr/>
            </w:pPr>
            <w:r>
              <w:rPr/>
              <w:t>Flûte Harmonique</w:t>
            </w:r>
          </w:p>
          <w:p>
            <w:pPr>
              <w:pStyle w:val="T4dispositie"/>
              <w:rPr/>
            </w:pPr>
            <w:r>
              <w:rPr/>
              <w:t>Octave</w:t>
            </w:r>
          </w:p>
          <w:p>
            <w:pPr>
              <w:pStyle w:val="T4dispositie"/>
              <w:rPr/>
            </w:pPr>
            <w:r>
              <w:rPr/>
              <w:t>Octave</w:t>
            </w:r>
          </w:p>
          <w:p>
            <w:pPr>
              <w:pStyle w:val="T4dispositie"/>
              <w:rPr/>
            </w:pPr>
            <w:r>
              <w:rPr/>
              <w:t>Mixture</w:t>
            </w:r>
          </w:p>
          <w:p>
            <w:pPr>
              <w:pStyle w:val="T4dispositie"/>
              <w:rPr/>
            </w:pPr>
            <w:r>
              <w:rPr/>
              <w:t>Trompette D</w:t>
            </w:r>
          </w:p>
          <w:p>
            <w:pPr>
              <w:pStyle w:val="T4dispositie"/>
              <w:rPr/>
            </w:pPr>
            <w:r>
              <w:rPr/>
              <w:t>Trompette</w:t>
            </w:r>
          </w:p>
          <w:p>
            <w:pPr>
              <w:pStyle w:val="T4dispositie"/>
              <w:rPr/>
            </w:pPr>
            <w:r>
              <w:rPr/>
              <w:t>Clairon B</w:t>
            </w:r>
          </w:p>
        </w:tc>
        <w:tc>
          <w:tcPr>
            <w:tcW w:w="825"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3-4 st.</w:t>
            </w:r>
          </w:p>
          <w:p>
            <w:pPr>
              <w:pStyle w:val="T4dispositie"/>
              <w:rPr/>
            </w:pPr>
            <w:r>
              <w:rPr/>
              <w:t>16</w:t>
            </w:r>
            <w:r>
              <w:rPr>
                <w:lang w:val="nl-NL"/>
              </w:rPr>
              <w:t>'</w:t>
            </w:r>
          </w:p>
          <w:p>
            <w:pPr>
              <w:pStyle w:val="T4dispositie"/>
              <w:rPr/>
            </w:pPr>
            <w:r>
              <w:rPr/>
              <w:t>8</w:t>
            </w:r>
            <w:r>
              <w:rPr>
                <w:lang w:val="nl-NL"/>
              </w:rPr>
              <w:t>'</w:t>
            </w:r>
          </w:p>
          <w:p>
            <w:pPr>
              <w:pStyle w:val="T4dispositie"/>
              <w:rPr/>
            </w:pPr>
            <w:r>
              <w:rPr/>
              <w:t>4</w:t>
            </w:r>
            <w:r>
              <w:rPr>
                <w:lang w:val="nl-NL"/>
              </w:rPr>
              <w:t>'</w:t>
            </w:r>
          </w:p>
        </w:tc>
        <w:tc>
          <w:tcPr>
            <w:tcW w:w="1791" w:type="dxa"/>
            <w:tcBorders/>
          </w:tcPr>
          <w:p>
            <w:pPr>
              <w:pStyle w:val="T4dispositie"/>
              <w:rPr>
                <w:i/>
                <w:i/>
                <w:iCs/>
              </w:rPr>
            </w:pPr>
            <w:r>
              <w:rPr>
                <w:i/>
                <w:iCs/>
              </w:rPr>
              <w:t>Zwelwerk (II)</w:t>
            </w:r>
          </w:p>
          <w:p>
            <w:pPr>
              <w:pStyle w:val="T4dispositie"/>
              <w:rPr/>
            </w:pPr>
            <w:r>
              <w:rPr/>
              <w:t>7 stemmen</w:t>
            </w:r>
          </w:p>
          <w:p>
            <w:pPr>
              <w:pStyle w:val="T4dispositie"/>
              <w:rPr/>
            </w:pPr>
            <w:r>
              <w:rPr/>
            </w:r>
          </w:p>
          <w:p>
            <w:pPr>
              <w:pStyle w:val="T4dispositie"/>
              <w:rPr/>
            </w:pPr>
            <w:r>
              <w:rPr/>
              <w:t>Violonprincipal</w:t>
            </w:r>
          </w:p>
          <w:p>
            <w:pPr>
              <w:pStyle w:val="T4dispositie"/>
              <w:rPr/>
            </w:pPr>
            <w:r>
              <w:rPr/>
              <w:t>Bourdon</w:t>
            </w:r>
          </w:p>
          <w:p>
            <w:pPr>
              <w:pStyle w:val="T4dispositie"/>
              <w:rPr/>
            </w:pPr>
            <w:r>
              <w:rPr/>
              <w:t>Viola d’Amour</w:t>
            </w:r>
          </w:p>
          <w:p>
            <w:pPr>
              <w:pStyle w:val="T4dispositie"/>
              <w:rPr/>
            </w:pPr>
            <w:r>
              <w:rPr/>
              <w:t>Voix Céleste</w:t>
            </w:r>
          </w:p>
          <w:p>
            <w:pPr>
              <w:pStyle w:val="T4dispositie"/>
              <w:rPr/>
            </w:pPr>
            <w:r>
              <w:rPr/>
              <w:t>Flûte Octaviante</w:t>
            </w:r>
          </w:p>
          <w:p>
            <w:pPr>
              <w:pStyle w:val="T4dispositie"/>
              <w:rPr/>
            </w:pPr>
            <w:r>
              <w:rPr/>
              <w:t>Piccolo</w:t>
            </w:r>
          </w:p>
          <w:p>
            <w:pPr>
              <w:pStyle w:val="T4dispositie"/>
              <w:rPr/>
            </w:pPr>
            <w:r>
              <w:rPr/>
              <w:t>Basson</w:t>
            </w:r>
          </w:p>
        </w:tc>
        <w:tc>
          <w:tcPr>
            <w:tcW w:w="375"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8</w:t>
            </w:r>
            <w:r>
              <w:rPr>
                <w:lang w:val="nl-NL"/>
              </w:rPr>
              <w:t>'</w:t>
            </w:r>
          </w:p>
        </w:tc>
        <w:tc>
          <w:tcPr>
            <w:tcW w:w="1333" w:type="dxa"/>
            <w:tcBorders/>
          </w:tcPr>
          <w:p>
            <w:pPr>
              <w:pStyle w:val="T4dispositie"/>
              <w:rPr>
                <w:i/>
                <w:i/>
                <w:iCs/>
              </w:rPr>
            </w:pPr>
            <w:r>
              <w:rPr>
                <w:i/>
                <w:iCs/>
              </w:rPr>
              <w:t>Pedaal</w:t>
            </w:r>
          </w:p>
          <w:p>
            <w:pPr>
              <w:pStyle w:val="T4dispositie"/>
              <w:rPr/>
            </w:pPr>
            <w:r>
              <w:rPr/>
              <w:t>4 stemmen</w:t>
            </w:r>
          </w:p>
          <w:p>
            <w:pPr>
              <w:pStyle w:val="T4dispositie"/>
              <w:rPr/>
            </w:pPr>
            <w:r>
              <w:rPr/>
            </w:r>
          </w:p>
          <w:p>
            <w:pPr>
              <w:pStyle w:val="T4dispositie"/>
              <w:rPr/>
            </w:pPr>
            <w:r>
              <w:rPr/>
              <w:t>Soubasse</w:t>
            </w:r>
          </w:p>
          <w:p>
            <w:pPr>
              <w:pStyle w:val="T4dispositie"/>
              <w:rPr/>
            </w:pPr>
            <w:r>
              <w:rPr/>
              <w:t>Octave</w:t>
            </w:r>
          </w:p>
          <w:p>
            <w:pPr>
              <w:pStyle w:val="T4dispositie"/>
              <w:rPr/>
            </w:pPr>
            <w:r>
              <w:rPr/>
              <w:t>Violoncelle</w:t>
            </w:r>
          </w:p>
          <w:p>
            <w:pPr>
              <w:pStyle w:val="T4dispositie"/>
              <w:rPr/>
            </w:pPr>
            <w:r>
              <w:rPr/>
              <w:t>Tuba</w:t>
            </w:r>
          </w:p>
        </w:tc>
        <w:tc>
          <w:tcPr>
            <w:tcW w:w="492"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16</w:t>
            </w:r>
            <w:r>
              <w:rPr>
                <w:lang w:val="nl-NL"/>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Ped-HW</w:t>
      </w:r>
    </w:p>
    <w:p>
      <w:pPr>
        <w:pStyle w:val="T1"/>
        <w:jc w:val="start"/>
        <w:rPr>
          <w:lang w:val="nl-NL"/>
        </w:rPr>
      </w:pPr>
      <w:r>
        <w:rPr>
          <w:lang w:val="nl-NL"/>
        </w:rPr>
        <w:t>trede voor in- en uitschakelen sterke stemmen HW</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Samenstelling vulstem</w:t>
      </w:r>
    </w:p>
    <w:tbl>
      <w:tblPr>
        <w:tblW w:w="3915" w:type="dxa"/>
        <w:jc w:val="start"/>
        <w:tblInd w:w="-70" w:type="dxa"/>
        <w:tblLayout w:type="fixed"/>
        <w:tblCellMar>
          <w:top w:w="0" w:type="dxa"/>
          <w:start w:w="70" w:type="dxa"/>
          <w:bottom w:w="0" w:type="dxa"/>
          <w:end w:w="70" w:type="dxa"/>
        </w:tblCellMar>
      </w:tblPr>
      <w:tblGrid>
        <w:gridCol w:w="1010"/>
        <w:gridCol w:w="718"/>
        <w:gridCol w:w="729"/>
        <w:gridCol w:w="729"/>
        <w:gridCol w:w="729"/>
      </w:tblGrid>
      <w:tr>
        <w:trPr/>
        <w:tc>
          <w:tcPr>
            <w:tcW w:w="1010" w:type="dxa"/>
            <w:tcBorders/>
          </w:tcPr>
          <w:p>
            <w:pPr>
              <w:pStyle w:val="T1"/>
              <w:jc w:val="start"/>
              <w:rPr>
                <w:lang w:val="nl-NL"/>
              </w:rPr>
            </w:pPr>
            <w:r>
              <w:rPr>
                <w:lang w:val="nl-NL"/>
              </w:rPr>
              <w:t>Mixture</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29" w:type="dxa"/>
            <w:tcBorders/>
          </w:tcPr>
          <w:p>
            <w:pPr>
              <w:pStyle w:val="T4dispositie"/>
              <w:rPr/>
            </w:pPr>
            <w:r>
              <w:rPr/>
              <w:t>f</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f</w:t>
            </w:r>
            <w:r>
              <w:rPr>
                <w:vertAlign w:val="superscript"/>
              </w:rPr>
              <w:t>1</w:t>
            </w:r>
          </w:p>
          <w:p>
            <w:pPr>
              <w:pStyle w:val="T4dispositie"/>
              <w:rPr/>
            </w:pPr>
            <w:r>
              <w:rPr/>
              <w:t>5 1/3</w:t>
            </w:r>
          </w:p>
          <w:p>
            <w:pPr>
              <w:pStyle w:val="T4dispositie"/>
              <w:rPr/>
            </w:pPr>
            <w:r>
              <w:rPr/>
              <w:t>4</w:t>
            </w:r>
          </w:p>
          <w:p>
            <w:pPr>
              <w:pStyle w:val="T4dispositie"/>
              <w:rPr/>
            </w:pPr>
            <w:r>
              <w:rPr/>
              <w:t>2 2/3</w:t>
            </w:r>
          </w:p>
        </w:tc>
        <w:tc>
          <w:tcPr>
            <w:tcW w:w="729" w:type="dxa"/>
            <w:tcBorders/>
          </w:tcPr>
          <w:p>
            <w:pPr>
              <w:pStyle w:val="T4dispositie"/>
              <w:rPr/>
            </w:pPr>
            <w:r>
              <w:rPr/>
              <w:t>c</w:t>
            </w:r>
            <w:r>
              <w:rPr>
                <w:vertAlign w:val="superscript"/>
              </w:rPr>
              <w:t>2</w:t>
            </w:r>
          </w:p>
          <w:p>
            <w:pPr>
              <w:pStyle w:val="T4dispositie"/>
              <w:rPr/>
            </w:pPr>
            <w:r>
              <w:rPr/>
              <w:t>8</w:t>
            </w:r>
          </w:p>
          <w:p>
            <w:pPr>
              <w:pStyle w:val="T4dispositie"/>
              <w:rPr/>
            </w:pPr>
            <w:r>
              <w:rPr/>
              <w:t>5 1/3</w:t>
            </w:r>
          </w:p>
          <w:p>
            <w:pPr>
              <w:pStyle w:val="T4dispositie"/>
              <w:rPr/>
            </w:pPr>
            <w:r>
              <w:rPr/>
              <w:t>4</w:t>
            </w:r>
          </w:p>
          <w:p>
            <w:pPr>
              <w:pStyle w:val="T4dispositie"/>
              <w:rPr/>
            </w:pPr>
            <w:r>
              <w:rPr/>
              <w:t>2 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 (1880)</w:t>
      </w:r>
    </w:p>
    <w:p>
      <w:pPr>
        <w:pStyle w:val="T1"/>
        <w:jc w:val="start"/>
        <w:rPr>
          <w:lang w:val="nl-NL"/>
        </w:rPr>
      </w:pPr>
      <w:r>
        <w:rPr>
          <w:lang w:val="nl-NL"/>
        </w:rPr>
        <w:t>Winddruk</w:t>
      </w:r>
    </w:p>
    <w:p>
      <w:pPr>
        <w:pStyle w:val="T1"/>
        <w:jc w:val="start"/>
        <w:rPr>
          <w:lang w:val="nl-NL"/>
        </w:rPr>
      </w:pPr>
      <w:r>
        <w:rPr>
          <w:lang w:val="nl-NL"/>
        </w:rPr>
        <w:t>HW en ZwW 85 mm, Ped 100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registerknoppen van het HW zijn boven de handklavieren geplaatst. De knoppen van het ZwW zijn in terrassen links van de handklavieren aangebracht; die van het Ped rechts.</w:t>
      </w:r>
    </w:p>
    <w:p>
      <w:pPr>
        <w:pStyle w:val="T1"/>
        <w:jc w:val="start"/>
        <w:rPr/>
      </w:pPr>
      <w:r>
        <w:rPr>
          <w:lang w:val="nl-NL"/>
        </w:rPr>
        <w:t>Het pijpwerk van het HW staat op een C- en een Cis-lade in hele tonen naar het midden toe aflopend. Door middel van een trede kunnen de registers Octave 2', Mixture, Trompette D 16', Trompette 8' en Clairon B 4' in één keer worden in- of uitgeschakeld. De chromatisch ingedeelde windlade van het ZwW is haaks op het front, boven die van het HW geplaatst. Het pijpwerk van het Ped staat op twee chromatische laden: C-A en B-d</w:t>
      </w:r>
      <w:r>
        <w:rPr>
          <w:vertAlign w:val="superscript"/>
          <w:lang w:val="nl-NL"/>
        </w:rPr>
        <w:t>1</w:t>
      </w:r>
      <w:r>
        <w:rPr>
          <w:lang w:val="nl-NL"/>
        </w:rPr>
        <w:t xml:space="preserve"> in een open opstelling achter de orgelkas. De slepen van deze lade worden pneumatisch bediend door middel van keilbalgen.</w:t>
      </w:r>
    </w:p>
    <w:p>
      <w:pPr>
        <w:pStyle w:val="T1"/>
        <w:jc w:val="start"/>
        <w:rPr/>
      </w:pPr>
      <w:r>
        <w:rPr>
          <w:lang w:val="nl-NL"/>
        </w:rPr>
        <w:t>De Principal 8' staat van C-e</w:t>
      </w:r>
      <w:r>
        <w:rPr>
          <w:vertAlign w:val="superscript"/>
          <w:lang w:val="nl-NL"/>
        </w:rPr>
        <w:t>1</w:t>
      </w:r>
      <w:r>
        <w:rPr>
          <w:lang w:val="nl-NL"/>
        </w:rPr>
        <w:t xml:space="preserve"> in het front (tin), het vervolg is van orgelmetaal (met expressions) en staat op de lade. De bas van de Bourdon 16' en het groot octaaf van de Dolce 8' is van hout, het vervolg van beide registers is van metaal (gedekt). De Violon D 16' en de Viola di Gamba 8' zijn voorzien van freins en expressions. De Flûte Harmonique 8' is van C-H gecombineerd met de Principal 8'. Het pijpwerk is van c-h</w:t>
      </w:r>
      <w:r>
        <w:rPr>
          <w:vertAlign w:val="superscript"/>
          <w:lang w:val="nl-NL"/>
        </w:rPr>
        <w:t>1</w:t>
      </w:r>
      <w:r>
        <w:rPr>
          <w:lang w:val="nl-NL"/>
        </w:rPr>
        <w:t xml:space="preserve"> voorzien van expressions en vanaf c</w:t>
      </w:r>
      <w:r>
        <w:rPr>
          <w:vertAlign w:val="superscript"/>
          <w:lang w:val="nl-NL"/>
        </w:rPr>
        <w:t>2</w:t>
      </w:r>
      <w:r>
        <w:rPr>
          <w:lang w:val="nl-NL"/>
        </w:rPr>
        <w:t xml:space="preserve"> overblazend. De Octave 4' is geheel voorzien van expressions. De Octave 2' heeft expressions van C-dis</w:t>
      </w:r>
      <w:r>
        <w:rPr>
          <w:vertAlign w:val="superscript"/>
          <w:lang w:val="nl-NL"/>
        </w:rPr>
        <w:t>2</w:t>
      </w:r>
      <w:r>
        <w:rPr>
          <w:lang w:val="nl-NL"/>
        </w:rPr>
        <w:t>; e</w:t>
      </w:r>
      <w:r>
        <w:rPr>
          <w:vertAlign w:val="superscript"/>
          <w:lang w:val="nl-NL"/>
        </w:rPr>
        <w:t>2</w:t>
      </w:r>
      <w:r>
        <w:rPr>
          <w:lang w:val="nl-NL"/>
        </w:rPr>
        <w:t>-f</w:t>
      </w:r>
      <w:r>
        <w:rPr>
          <w:vertAlign w:val="superscript"/>
          <w:lang w:val="nl-NL"/>
        </w:rPr>
        <w:t>2</w:t>
      </w:r>
      <w:r>
        <w:rPr>
          <w:lang w:val="nl-NL"/>
        </w:rPr>
        <w:t xml:space="preserve"> zijn voorzien van stemkrullen, de rest is op lengte afgesneden. De Mixture is grotendeels voorzien van expressions. De drie tongwerken zijn voorzien van Duitse koppen en Franse kelen en tongen.</w:t>
      </w:r>
    </w:p>
    <w:p>
      <w:pPr>
        <w:pStyle w:val="T1"/>
        <w:jc w:val="start"/>
        <w:rPr>
          <w:lang w:val="nl-NL"/>
        </w:rPr>
      </w:pPr>
      <w:r>
        <w:rPr>
          <w:lang w:val="nl-NL"/>
        </w:rPr>
        <w:t>Het groot octaaf van de Bourdon 8' (ZwW) is van grenen, het vervolg is van metaal. Ook het groot octaaf van de Violonprincipal 8' is van grenen, het overige, metalen pijpwerk is voorzien van expressions. De registers Viola d’Amour 8' en Voix Céleste 8' (vanaf f) zijn voorzien van expressions en freins. De Flûte Octaviante 4' is van C-h voorzien van expressions. De discant is overblazend en heeft stemkrullen. De Piccolo 2' is geheel voorzien van expressions. De Basson 8' is feitelijk een eng gemensureerde Trompet met Duitse lepels en koppen.</w:t>
      </w:r>
    </w:p>
    <w:p>
      <w:pPr>
        <w:pStyle w:val="T1"/>
        <w:jc w:val="start"/>
        <w:rPr>
          <w:lang w:val="nl-NL"/>
        </w:rPr>
      </w:pPr>
      <w:r>
        <w:rPr>
          <w:lang w:val="nl-NL"/>
        </w:rPr>
        <w:t>De Soubasse 16' is van grenen (gedekt). De Octave 8' is van grenen, open. De Violoncelle 8' is van metaal en voorzien van freins en expressions. De Tuba 16' heeft zinken stevels en schoenen en metalen bekers van halve lengte. De kelen zijn half gesloten met traanvormige openingen, beleerd.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2006-04-25T12:58:00Z</dcterms:created>
  <dc:creator>WS1</dc:creator>
  <dc:description/>
  <dc:language>en-US</dc:language>
  <cp:lastModifiedBy>WS1</cp:lastModifiedBy>
  <dcterms:modified xsi:type="dcterms:W3CDTF">2006-04-25T12:58:00Z</dcterms:modified>
  <cp:revision>2</cp:revision>
  <dc:subject/>
  <dc:title>Westbeemster / 1880</dc:title>
</cp:coreProperties>
</file>