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Soest / ca 1880</w:t>
      </w:r>
    </w:p>
    <w:p>
      <w:pPr>
        <w:pStyle w:val="Heading2"/>
        <w:rPr>
          <w:i w:val="false"/>
          <w:i w:val="false"/>
          <w:iCs/>
        </w:rPr>
      </w:pPr>
      <w:r>
        <w:rPr>
          <w:i w:val="false"/>
          <w:iCs/>
        </w:rPr>
        <w:t>Gereformeerde Kerk Vrijgemaakt</w:t>
      </w:r>
    </w:p>
    <w:p>
      <w:pPr>
        <w:pStyle w:val="T1"/>
        <w:jc w:val="start"/>
        <w:rPr>
          <w:i/>
          <w:i/>
          <w:iCs/>
          <w:lang w:val="nl-NL"/>
        </w:rPr>
      </w:pPr>
      <w:r>
        <w:rPr>
          <w:i/>
          <w:iCs/>
          <w:lang w:val="nl-NL"/>
        </w:rPr>
      </w:r>
    </w:p>
    <w:p>
      <w:pPr>
        <w:pStyle w:val="T1"/>
        <w:jc w:val="start"/>
        <w:rPr>
          <w:lang w:val="nl-NL"/>
        </w:rPr>
      </w:pPr>
      <w:r>
        <w:rPr>
          <w:lang w:val="nl-NL"/>
        </w:rPr>
        <w:t>Kas: ca 1880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eenvoudig, typisch Engels front, waarbij de open pijpopstelling optisch alleen door enig stijl- en regelwerk wordt bijeengehouden. De frontpijpen hebben een horizontaal labiumverloop. Tegen het front twee regels met gekanteelde bovenlijsten: de onderste is voorzien van opengewerkte driepassen, de bovenste van opengewerkte rozetten. De zijschotten bezitten aan de voorzijde ter hoogte van de frontpijpen twee uitkragingen, waartussen een zuiltje is geplaatst. De bovenzijde van de zijschotten is afgedekt met een ezelsrug, bezet met knoppen.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i/>
          <w:i/>
          <w:lang w:val="nl-NL"/>
        </w:rPr>
      </w:pPr>
      <w:r>
        <w:rPr>
          <w:i/>
          <w:lang w:val="nl-NL"/>
        </w:rPr>
        <w:t>De Mixtuur</w:t>
      </w:r>
      <w:r>
        <w:rPr>
          <w:lang w:val="nl-NL"/>
        </w:rPr>
        <w:t>, 46 (1984), 661, 663.</w:t>
      </w:r>
    </w:p>
    <w:p>
      <w:pPr>
        <w:pStyle w:val="T3Lit"/>
        <w:jc w:val="start"/>
        <w:rPr/>
      </w:pPr>
      <w:r>
        <w:rPr>
          <w:i/>
          <w:lang w:val="nl-NL"/>
        </w:rPr>
        <w:t>De Orgelkrant</w:t>
      </w:r>
      <w:r>
        <w:rPr>
          <w:lang w:val="nl-NL"/>
        </w:rPr>
        <w:t>, 6/9 (2001), 7.</w:t>
      </w:r>
    </w:p>
    <w:p>
      <w:pPr>
        <w:pStyle w:val="T3Lit"/>
        <w:jc w:val="start"/>
        <w:rPr>
          <w:lang w:val="nl-NL"/>
        </w:rPr>
      </w:pPr>
      <w:r>
        <w:rPr>
          <w:lang w:val="nl-NL"/>
        </w:rPr>
      </w:r>
    </w:p>
    <w:p>
      <w:pPr>
        <w:pStyle w:val="T3Lit"/>
        <w:jc w:val="start"/>
        <w:rPr>
          <w:lang w:val="nl-NL"/>
        </w:rPr>
      </w:pPr>
      <w:r>
        <w:rPr>
          <w:lang w:val="nl-NL"/>
        </w:rPr>
        <w:t>Orgelnummer 1954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H. Linsell</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ca 1880</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w:t>
      </w:r>
    </w:p>
    <w:p>
      <w:pPr>
        <w:pStyle w:val="T1"/>
        <w:jc w:val="start"/>
        <w:rPr>
          <w:lang w:val="nl-NL"/>
        </w:rPr>
      </w:pPr>
      <w:r>
        <w:rPr>
          <w:lang w:val="nl-NL"/>
        </w:rPr>
      </w:r>
    </w:p>
    <w:p>
      <w:pPr>
        <w:pStyle w:val="T1"/>
        <w:jc w:val="start"/>
        <w:rPr>
          <w:lang w:val="nl-NL"/>
        </w:rPr>
      </w:pPr>
      <w:r>
        <w:rPr>
          <w:lang w:val="nl-NL"/>
        </w:rPr>
        <w:t>W. Feenstra 1983</w:t>
      </w:r>
    </w:p>
    <w:p>
      <w:pPr>
        <w:pStyle w:val="T1"/>
        <w:jc w:val="start"/>
        <w:rPr>
          <w:lang w:val="nl-NL"/>
        </w:rPr>
      </w:pPr>
      <w:r>
        <w:rPr>
          <w:lang w:val="nl-NL"/>
        </w:rPr>
        <w:t>.</w:t>
        <w:tab/>
        <w:t>orgel geplaatst te Soest, Gereformeerde Kerk Vrijgemaakt</w:t>
      </w:r>
    </w:p>
    <w:p>
      <w:pPr>
        <w:pStyle w:val="T1"/>
        <w:jc w:val="start"/>
        <w:rPr>
          <w:lang w:val="nl-NL"/>
        </w:rPr>
      </w:pPr>
      <w:r>
        <w:rPr>
          <w:lang w:val="nl-NL"/>
        </w:rPr>
        <w:t>.</w:t>
        <w:tab/>
        <w:t>Werckmeister IV-temperatuur gelegd</w:t>
      </w:r>
    </w:p>
    <w:p>
      <w:pPr>
        <w:pStyle w:val="T1"/>
        <w:jc w:val="start"/>
        <w:rPr>
          <w:lang w:val="nl-NL"/>
        </w:rPr>
      </w:pPr>
      <w:r>
        <w:rPr>
          <w:lang w:val="nl-NL"/>
        </w:rPr>
      </w:r>
    </w:p>
    <w:p>
      <w:pPr>
        <w:pStyle w:val="T1"/>
        <w:jc w:val="start"/>
        <w:rPr>
          <w:lang w:val="nl-NL"/>
        </w:rPr>
      </w:pPr>
      <w:r>
        <w:rPr>
          <w:lang w:val="nl-NL"/>
        </w:rPr>
        <w:t>Elbertse Orgelmakers 2001</w:t>
      </w:r>
    </w:p>
    <w:p>
      <w:pPr>
        <w:pStyle w:val="T1"/>
        <w:jc w:val="start"/>
        <w:rPr>
          <w:lang w:val="nl-NL"/>
        </w:rPr>
      </w:pPr>
      <w:r>
        <w:rPr>
          <w:lang w:val="nl-NL"/>
        </w:rPr>
        <w:t>.</w:t>
        <w:tab/>
        <w:t>restauratie</w:t>
      </w:r>
    </w:p>
    <w:p>
      <w:pPr>
        <w:pStyle w:val="T1"/>
        <w:jc w:val="start"/>
        <w:rPr>
          <w:lang w:val="nl-NL"/>
        </w:rPr>
      </w:pPr>
      <w:r>
        <w:rPr>
          <w:lang w:val="nl-NL"/>
        </w:rPr>
        <w:t>.</w:t>
        <w:tab/>
        <w:t>achterwand kas vernieuwd</w:t>
      </w:r>
    </w:p>
    <w:p>
      <w:pPr>
        <w:pStyle w:val="T1"/>
        <w:jc w:val="start"/>
        <w:rPr>
          <w:lang w:val="nl-NL"/>
        </w:rPr>
      </w:pPr>
      <w:r>
        <w:rPr>
          <w:lang w:val="nl-NL"/>
        </w:rPr>
        <w:t>.</w:t>
        <w:tab/>
        <w:t xml:space="preserve">windvoorziening gewijzigd </w:t>
      </w:r>
    </w:p>
    <w:p>
      <w:pPr>
        <w:pStyle w:val="T1"/>
        <w:jc w:val="start"/>
        <w:rPr>
          <w:lang w:val="nl-NL"/>
        </w:rPr>
      </w:pPr>
      <w:r>
        <w:rPr>
          <w:lang w:val="nl-NL"/>
        </w:rPr>
        <w:t>.</w:t>
        <w:tab/>
        <w:t>gelijkzwevende temperatuur gelegd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37" w:type="dxa"/>
        <w:jc w:val="start"/>
        <w:tblInd w:w="-70" w:type="dxa"/>
        <w:tblLayout w:type="fixed"/>
        <w:tblCellMar>
          <w:top w:w="0" w:type="dxa"/>
          <w:start w:w="70" w:type="dxa"/>
          <w:bottom w:w="0" w:type="dxa"/>
          <w:end w:w="70" w:type="dxa"/>
        </w:tblCellMar>
      </w:tblPr>
      <w:tblGrid>
        <w:gridCol w:w="2062"/>
        <w:gridCol w:w="375"/>
      </w:tblGrid>
      <w:tr>
        <w:trPr/>
        <w:tc>
          <w:tcPr>
            <w:tcW w:w="2062" w:type="dxa"/>
            <w:tcBorders/>
          </w:tcPr>
          <w:p>
            <w:pPr>
              <w:pStyle w:val="T4dispositie"/>
              <w:jc w:val="start"/>
              <w:rPr>
                <w:i/>
                <w:i/>
                <w:iCs/>
                <w:lang w:val="nl-NL"/>
              </w:rPr>
            </w:pPr>
            <w:r>
              <w:rPr>
                <w:i/>
                <w:iCs/>
                <w:lang w:val="nl-NL"/>
              </w:rPr>
              <w:t>Manuaal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Open Diapason</w:t>
            </w:r>
          </w:p>
          <w:p>
            <w:pPr>
              <w:pStyle w:val="T4dispositie"/>
              <w:jc w:val="start"/>
              <w:rPr>
                <w:lang w:val="nl-NL"/>
              </w:rPr>
            </w:pPr>
            <w:r>
              <w:rPr>
                <w:lang w:val="nl-NL"/>
              </w:rPr>
              <w:t>Stop Diapason B/D</w:t>
            </w:r>
          </w:p>
          <w:p>
            <w:pPr>
              <w:pStyle w:val="T4dispositie"/>
              <w:jc w:val="start"/>
              <w:rPr>
                <w:lang w:val="nl-NL"/>
              </w:rPr>
            </w:pPr>
            <w:r>
              <w:rPr>
                <w:lang w:val="nl-NL"/>
              </w:rPr>
              <w:t>Dulciana</w:t>
            </w:r>
          </w:p>
          <w:p>
            <w:pPr>
              <w:pStyle w:val="T4dispositie"/>
              <w:jc w:val="start"/>
              <w:rPr>
                <w:lang w:val="nl-NL"/>
              </w:rPr>
            </w:pPr>
            <w:r>
              <w:rPr>
                <w:lang w:val="nl-NL"/>
              </w:rPr>
              <w:t>Principal</w:t>
            </w:r>
          </w:p>
          <w:p>
            <w:pPr>
              <w:pStyle w:val="T4dispositie"/>
              <w:jc w:val="start"/>
              <w:rPr>
                <w:lang w:val="nl-NL"/>
              </w:rPr>
            </w:pPr>
            <w:r>
              <w:rPr>
                <w:lang w:val="nl-NL"/>
              </w:rPr>
              <w:t>Flute</w:t>
            </w:r>
          </w:p>
          <w:p>
            <w:pPr>
              <w:pStyle w:val="T4dispositie"/>
              <w:jc w:val="start"/>
              <w:rPr>
                <w:lang w:val="nl-NL"/>
              </w:rPr>
            </w:pPr>
            <w:r>
              <w:rPr>
                <w:lang w:val="nl-NL"/>
              </w:rPr>
              <w:t>Fifteenth</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twee treden voor in- en uitschakelen Open Diapason, Principal, Flute en Fifteenth</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 xml:space="preserve">magazijnbalg met dubbele vouw en twee schepbalgen </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H en c.</w:t>
      </w:r>
    </w:p>
    <w:p>
      <w:pPr>
        <w:pStyle w:val="T1"/>
        <w:jc w:val="start"/>
        <w:rPr>
          <w:lang w:val="nl-NL"/>
        </w:rPr>
      </w:pPr>
      <w:r>
        <w:rPr>
          <w:lang w:val="nl-NL"/>
        </w:rPr>
        <w:t>De orgelkast is van grenen, de achterwand dateert uit 2001.</w:t>
      </w:r>
    </w:p>
    <w:p>
      <w:pPr>
        <w:pStyle w:val="T1"/>
        <w:jc w:val="start"/>
        <w:rPr>
          <w:lang w:val="nl-NL"/>
        </w:rPr>
      </w:pPr>
      <w:r>
        <w:rPr>
          <w:lang w:val="nl-NL"/>
        </w:rPr>
        <w:t>De windvoorziening bevindt zich in de onderkast. Oorspronkelijk kon er naar keuze aan beide zijden van het orgel worden gepompt. Thans zijn de schepbalgen vastgezet en is de bediening ervan in de kas opgeslagen. Op de kas waren op verschillende plaatsen messing merkjes aangebracht voor de aanduiding van de balgstand met een peillood. Deze zijn verdwenen.</w:t>
      </w:r>
    </w:p>
    <w:p>
      <w:pPr>
        <w:pStyle w:val="T1"/>
        <w:jc w:val="start"/>
        <w:rPr>
          <w:lang w:val="nl-NL"/>
        </w:rPr>
      </w:pPr>
      <w:r>
        <w:rPr>
          <w:lang w:val="nl-NL"/>
        </w:rPr>
        <w:t>Het handklavier is belegd met ivoor en heeft ebben frontons in de vorm van halve accoladeboogjes. De klavieromlijsting is van mahonie. Het pedaalklavier is vernieuwd.</w:t>
      </w:r>
    </w:p>
    <w:p>
      <w:pPr>
        <w:pStyle w:val="T1"/>
        <w:jc w:val="start"/>
        <w:rPr>
          <w:lang w:val="nl-NL"/>
        </w:rPr>
      </w:pPr>
      <w:r>
        <w:rPr>
          <w:lang w:val="nl-NL"/>
        </w:rPr>
        <w:t>De windlade is grotendeels van Cubaans mahonie.</w:t>
      </w:r>
    </w:p>
    <w:p>
      <w:pPr>
        <w:pStyle w:val="T1"/>
        <w:jc w:val="start"/>
        <w:rPr/>
      </w:pPr>
      <w:r>
        <w:rPr>
          <w:lang w:val="nl-NL"/>
        </w:rPr>
        <w:t>In het front staan pijpen van de Open Diapason 8' (c-cis</w:t>
      </w:r>
      <w:r>
        <w:rPr>
          <w:vertAlign w:val="superscript"/>
          <w:lang w:val="nl-NL"/>
        </w:rPr>
        <w:t>1</w:t>
      </w:r>
      <w:r>
        <w:rPr>
          <w:lang w:val="nl-NL"/>
        </w:rPr>
        <w:t>) en de Principal 4' (C-Fis). De Open Diapason 8' en de Dulciana 8' beginnen beide op c. Door de deling van de Stop Diapason 8' kan het groot octaaf apart worden gebruikt om de registers Open Diapason en Dulciana aan te vullen. De Stop Diapason 8' is geheel van naaldhout. C-H van de Flute 4' zijn eveneens van naaldhout (gedekt) met eiken voorslagen, het vervolg is van cederhout (open) met metalen stemkleppen. Het metalen pijpwerk heeft een zeer hoog loodgehalte en is voorzien van fijne kernsteken en spitse bovenlabia.</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2006-04-25T13:03:00Z</dcterms:created>
  <dc:creator>WS1</dc:creator>
  <dc:description/>
  <dc:language>en-US</dc:language>
  <cp:lastModifiedBy>WS1</cp:lastModifiedBy>
  <dcterms:modified xsi:type="dcterms:W3CDTF">2006-04-25T13:03:00Z</dcterms:modified>
  <cp:revision>2</cp:revision>
  <dc:subject/>
  <dc:title>Soest / 1880 ca</dc:title>
</cp:coreProperties>
</file>