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Utrecht / ca 1880</w:t>
      </w:r>
    </w:p>
    <w:p>
      <w:pPr>
        <w:pStyle w:val="Heading2"/>
        <w:rPr>
          <w:i w:val="false"/>
          <w:i w:val="false"/>
          <w:iCs/>
        </w:rPr>
      </w:pPr>
      <w:r>
        <w:rPr>
          <w:i w:val="false"/>
          <w:iCs/>
        </w:rPr>
        <w:t>Verpleeghuis St-Hieronimus</w:t>
      </w:r>
    </w:p>
    <w:p>
      <w:pPr>
        <w:pStyle w:val="T1"/>
        <w:jc w:val="start"/>
        <w:rPr>
          <w:i/>
          <w:i/>
          <w:iCs/>
          <w:lang w:val="nl-NL"/>
        </w:rPr>
      </w:pPr>
      <w:r>
        <w:rPr>
          <w:i/>
          <w:iCs/>
          <w:lang w:val="nl-NL"/>
        </w:rPr>
      </w:r>
    </w:p>
    <w:p>
      <w:pPr>
        <w:pStyle w:val="T1"/>
        <w:rPr>
          <w:i/>
          <w:i/>
          <w:iCs/>
        </w:rPr>
      </w:pPr>
      <w:r>
        <w:rPr>
          <w:i/>
          <w:iCs/>
        </w:rPr>
        <w:t>Neogotisch gebouwencomplex uit 1874-1876 naar ontwerp van A. Tepe en A.G. Tollenaar met centrale vierkante toren en kapel. De neogotische inventaris van de kapel van de hand van F.W. Mengelberg ging verloren. Gebrandschilderde ramen van H.J.J. Geuer.</w:t>
      </w:r>
    </w:p>
    <w:p>
      <w:pPr>
        <w:pStyle w:val="T1"/>
        <w:jc w:val="start"/>
        <w:rPr>
          <w:i/>
          <w:i/>
          <w:iCs/>
          <w:lang w:val="nl-NL"/>
        </w:rPr>
      </w:pPr>
      <w:r>
        <w:rPr>
          <w:i/>
          <w:iCs/>
          <w:lang w:val="nl-NL"/>
        </w:rPr>
      </w:r>
    </w:p>
    <w:p>
      <w:pPr>
        <w:pStyle w:val="T1"/>
        <w:jc w:val="start"/>
        <w:rPr>
          <w:lang w:val="nl-NL"/>
        </w:rPr>
      </w:pPr>
      <w:r>
        <w:rPr>
          <w:lang w:val="nl-NL"/>
        </w:rPr>
        <w:t>Kas: ca 1880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later voorbeeld van het type Wegdam (1874, deel 1872-1878, 33 afb. 24). De opbouw is vrijwel identiek aan die van het prototype: een smal torenachtig middenveld, tussenvelden met driehoekig onderpaneel en een bovenafsluiting in de vorm van een halve boog, en vlakke torenachtige zijvelden. Het voornaamste verschil met het origineel is de aanwezigheid van twee in 1895 toegevoegde smalle zijpanelen met gesneden spitsboogmotief. De decoratie is vrij sober en, vergeleken met de oudere orgelfronten van dit type, tamelijk eenvormig. De bogen en halfbogen zijn alle voorzien van hetzelfde model toten. In de driehoekige panelen onder de tussenvelden de gebruikelijke spreukbanden, hier zonder tekst, en verder tootlijsten boven de tussenvelden en uit kielboogelementen samengestelde bekroningen op midden- en zijvelden. Alleen de decoratie in de boogzwikken in het middenveld is iets rijker en vertoont rozetten en rankwerk.</w:t>
      </w:r>
    </w:p>
    <w:p>
      <w:pPr>
        <w:pStyle w:val="T1"/>
        <w:jc w:val="start"/>
        <w:rPr>
          <w:lang w:val="nl-NL"/>
        </w:rPr>
      </w:pPr>
      <w:r>
        <w:rPr>
          <w:lang w:val="nl-NL"/>
        </w:rPr>
      </w:r>
    </w:p>
    <w:p>
      <w:pPr>
        <w:pStyle w:val="T3Lit"/>
        <w:rPr>
          <w:b/>
          <w:b/>
          <w:bCs/>
          <w:i w:val="false"/>
          <w:i w:val="false"/>
          <w:iCs/>
          <w:sz w:val="20"/>
        </w:rPr>
      </w:pPr>
      <w:r>
        <w:rPr>
          <w:b/>
          <w:bCs/>
          <w:i w:val="false"/>
          <w:iCs/>
          <w:sz w:val="20"/>
        </w:rPr>
        <w:t>Literatuur</w:t>
      </w:r>
    </w:p>
    <w:p>
      <w:pPr>
        <w:pStyle w:val="T3Lit"/>
        <w:rPr/>
      </w:pPr>
      <w:r>
        <w:rPr>
          <w:i w:val="false"/>
          <w:iCs/>
          <w:sz w:val="20"/>
        </w:rPr>
        <w:t xml:space="preserve">Peter van Dijk en Ronald Doornekamp, </w:t>
      </w:r>
      <w:r>
        <w:rPr>
          <w:sz w:val="20"/>
        </w:rPr>
        <w:t>Orgels in Utrecht, zes eeuwen geschiedenis en een inventarisatie</w:t>
      </w:r>
      <w:r>
        <w:rPr>
          <w:i w:val="false"/>
          <w:iCs/>
          <w:sz w:val="20"/>
        </w:rPr>
        <w:t>. Utrecht, 1992, 38-39, 95.</w:t>
      </w:r>
    </w:p>
    <w:p>
      <w:pPr>
        <w:pStyle w:val="T3Lit"/>
        <w:rPr/>
      </w:pPr>
      <w:r>
        <w:rPr>
          <w:sz w:val="20"/>
        </w:rPr>
        <w:t>Het Orgel</w:t>
      </w:r>
      <w:r>
        <w:rPr>
          <w:i w:val="false"/>
          <w:iCs/>
          <w:sz w:val="20"/>
        </w:rPr>
        <w:t>, 10/9 (november 1895), 105.</w:t>
      </w:r>
    </w:p>
    <w:p>
      <w:pPr>
        <w:pStyle w:val="T3Lit"/>
        <w:rPr>
          <w:i w:val="false"/>
          <w:i w:val="false"/>
          <w:iCs/>
          <w:sz w:val="20"/>
          <w:lang w:val="nl-NL"/>
        </w:rPr>
      </w:pPr>
      <w:r>
        <w:rPr>
          <w:i w:val="false"/>
          <w:iCs/>
          <w:sz w:val="20"/>
          <w:lang w:val="nl-NL"/>
        </w:rPr>
      </w:r>
    </w:p>
    <w:p>
      <w:pPr>
        <w:pStyle w:val="T3Lit"/>
        <w:rPr>
          <w:i w:val="false"/>
          <w:i w:val="false"/>
          <w:iCs/>
          <w:sz w:val="20"/>
        </w:rPr>
      </w:pPr>
      <w:r>
        <w:rPr>
          <w:b/>
          <w:bCs/>
          <w:i w:val="false"/>
          <w:iCs/>
          <w:sz w:val="20"/>
        </w:rPr>
        <w:t>Niet gepubliceerde bronnen</w:t>
      </w:r>
    </w:p>
    <w:p>
      <w:pPr>
        <w:pStyle w:val="T3Lit"/>
        <w:rPr>
          <w:i w:val="false"/>
          <w:i w:val="false"/>
          <w:iCs/>
          <w:sz w:val="20"/>
        </w:rPr>
      </w:pPr>
      <w:r>
        <w:rPr>
          <w:i w:val="false"/>
          <w:iCs/>
          <w:sz w:val="20"/>
        </w:rPr>
        <w:t>Archief Parochiaal Armenbestuur Utrecht.</w:t>
      </w:r>
    </w:p>
    <w:p>
      <w:pPr>
        <w:pStyle w:val="T3Lit"/>
        <w:rPr>
          <w:i w:val="false"/>
          <w:i w:val="false"/>
          <w:iCs/>
          <w:sz w:val="20"/>
          <w:lang w:val="nl-NL"/>
        </w:rPr>
      </w:pPr>
      <w:r>
        <w:rPr>
          <w:i w:val="false"/>
          <w:iCs/>
          <w:sz w:val="20"/>
        </w:rPr>
        <w:t xml:space="preserve">Maarschalkerweerd-documentatie Paul Houdijk, fotokopie cahier </w:t>
      </w:r>
      <w:r>
        <w:rPr>
          <w:sz w:val="20"/>
        </w:rPr>
        <w:t>Orgeldisposities van verschillende meesters om een of andere reden de belanstelling waardig</w:t>
      </w:r>
      <w:r>
        <w:rPr>
          <w:i w:val="false"/>
          <w:iCs/>
          <w:sz w:val="20"/>
        </w:rPr>
        <w:t>, fol. 1.</w:t>
      </w:r>
    </w:p>
    <w:p>
      <w:pPr>
        <w:pStyle w:val="T3Lit"/>
        <w:rPr>
          <w:i w:val="false"/>
          <w:i w:val="false"/>
          <w:iCs/>
          <w:sz w:val="20"/>
          <w:lang w:val="nl-NL"/>
        </w:rPr>
      </w:pPr>
      <w:r>
        <w:rPr>
          <w:i w:val="false"/>
          <w:iCs/>
          <w:sz w:val="20"/>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Maarschalkerweerd &amp; Zn</w:t>
      </w:r>
    </w:p>
    <w:p>
      <w:pPr>
        <w:pStyle w:val="T1"/>
        <w:jc w:val="start"/>
        <w:rPr>
          <w:lang w:val="nl-NL"/>
        </w:rPr>
      </w:pPr>
      <w:r>
        <w:rPr>
          <w:lang w:val="nl-NL"/>
        </w:rPr>
        <w:t>2. Maarschalkerweerd &amp; Zn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ca 1880</w:t>
      </w:r>
    </w:p>
    <w:p>
      <w:pPr>
        <w:pStyle w:val="T1"/>
        <w:jc w:val="start"/>
        <w:rPr>
          <w:lang w:val="nl-NL"/>
        </w:rPr>
      </w:pPr>
      <w:r>
        <w:rPr>
          <w:lang w:val="nl-NL"/>
        </w:rPr>
        <w:t>2. 1895</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w:t>
      </w:r>
    </w:p>
    <w:p>
      <w:pPr>
        <w:pStyle w:val="T1"/>
        <w:jc w:val="start"/>
        <w:rPr>
          <w:lang w:val="nl-NL"/>
        </w:rPr>
      </w:pPr>
      <w:r>
        <w:rPr>
          <w:lang w:val="nl-NL"/>
        </w:rPr>
      </w:r>
    </w:p>
    <w:p>
      <w:pPr>
        <w:pStyle w:val="T1"/>
        <w:jc w:val="start"/>
        <w:rPr>
          <w:lang w:val="nl-NL"/>
        </w:rPr>
      </w:pPr>
      <w:r>
        <w:rPr>
          <w:lang w:val="nl-NL"/>
        </w:rPr>
        <w:t>Maarschalkerweerd &amp; Zn 1895</w:t>
      </w:r>
    </w:p>
    <w:p>
      <w:pPr>
        <w:pStyle w:val="T1"/>
        <w:jc w:val="start"/>
        <w:rPr>
          <w:lang w:val="nl-NL"/>
        </w:rPr>
      </w:pPr>
      <w:r>
        <w:rPr>
          <w:lang w:val="nl-NL"/>
        </w:rPr>
        <w:t>.</w:t>
        <w:tab/>
        <w:t>front gebruikt voor bouw nieuw orgel R.K. Wees- en Oudeliedenhuis St-Hieronymus</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pijpwerk Violino 8' vervangen; oude pijpen in de orgelkas opgeslagen</w:t>
      </w:r>
    </w:p>
    <w:p>
      <w:pPr>
        <w:pStyle w:val="T1"/>
        <w:jc w:val="start"/>
        <w:rPr>
          <w:lang w:val="nl-NL"/>
        </w:rPr>
      </w:pPr>
      <w:r>
        <w:rPr>
          <w:lang w:val="nl-NL"/>
        </w:rPr>
      </w:r>
    </w:p>
    <w:p>
      <w:pPr>
        <w:pStyle w:val="T1"/>
        <w:jc w:val="start"/>
        <w:rPr>
          <w:lang w:val="nl-NL"/>
        </w:rPr>
      </w:pPr>
      <w:r>
        <w:rPr>
          <w:lang w:val="nl-NL"/>
        </w:rPr>
        <w:t>2000</w:t>
      </w:r>
    </w:p>
    <w:p>
      <w:pPr>
        <w:pStyle w:val="T1"/>
        <w:jc w:val="start"/>
        <w:rPr>
          <w:lang w:val="nl-NL"/>
        </w:rPr>
      </w:pPr>
      <w:r>
        <w:rPr>
          <w:lang w:val="nl-NL"/>
        </w:rPr>
        <w:t>.</w:t>
        <w:tab/>
        <w:t>Verpleeghuis gesloten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5761" w:type="dxa"/>
        <w:jc w:val="start"/>
        <w:tblInd w:w="-70" w:type="dxa"/>
        <w:tblLayout w:type="fixed"/>
        <w:tblCellMar>
          <w:top w:w="0" w:type="dxa"/>
          <w:start w:w="70" w:type="dxa"/>
          <w:bottom w:w="0" w:type="dxa"/>
          <w:end w:w="70" w:type="dxa"/>
        </w:tblCellMar>
      </w:tblPr>
      <w:tblGrid>
        <w:gridCol w:w="1600"/>
        <w:gridCol w:w="480"/>
        <w:gridCol w:w="1684"/>
        <w:gridCol w:w="375"/>
        <w:gridCol w:w="933"/>
        <w:gridCol w:w="689"/>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Violino</w:t>
            </w:r>
          </w:p>
          <w:p>
            <w:pPr>
              <w:pStyle w:val="T4dispositie"/>
              <w:jc w:val="start"/>
              <w:rPr>
                <w:lang w:val="nl-NL"/>
              </w:rPr>
            </w:pPr>
            <w:r>
              <w:rPr>
                <w:lang w:val="nl-NL"/>
              </w:rPr>
              <w:t>Octaaf</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tc>
        <w:tc>
          <w:tcPr>
            <w:tcW w:w="1684"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Fluit dolce</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r>
              <w:rPr/>
              <w:t>'</w:t>
            </w:r>
          </w:p>
        </w:tc>
        <w:tc>
          <w:tcPr>
            <w:tcW w:w="933"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Subbas</w:t>
            </w:r>
          </w:p>
        </w:tc>
        <w:tc>
          <w:tcPr>
            <w:tcW w:w="68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pPr>
            <w:r>
              <w:rPr>
                <w:lang w:val="nl-NL"/>
              </w:rPr>
              <w:t>16</w:t>
            </w:r>
            <w:r>
              <w:rPr/>
              <w:t>'</w:t>
            </w:r>
            <w:r>
              <w:rPr>
                <w:lang w:val="nl-NL"/>
              </w:rPr>
              <w:t xml:space="preserve">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HW-NW, Ped-HW</w:t>
      </w:r>
    </w:p>
    <w:p>
      <w:pPr>
        <w:pStyle w:val="T1"/>
        <w:jc w:val="start"/>
        <w:rPr>
          <w:lang w:val="nl-NL"/>
        </w:rPr>
      </w:pPr>
      <w:r>
        <w:rPr>
          <w:lang w:val="nl-NL"/>
        </w:rPr>
        <w:t>windlosser</w:t>
      </w:r>
    </w:p>
    <w:p>
      <w:pPr>
        <w:pStyle w:val="T1"/>
        <w:jc w:val="start"/>
        <w:rPr>
          <w:lang w:val="nl-NL"/>
        </w:rPr>
      </w:pPr>
      <w:r>
        <w:rPr>
          <w:lang w:val="nl-NL"/>
        </w:rPr>
        <w:t>zweltrede gehele orgel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schokbalg voor HW (1895)</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 xml:space="preserve">Volgens de notulen van het parochiaal armbestuur werd in maart 1895 besloten het bestaande orgel - thans te Oldebroek, Gereformeerde Kerk (deel </w:t>
      </w:r>
      <w:r>
        <w:rPr>
          <w:iCs/>
          <w:lang w:val="nl-NL"/>
        </w:rPr>
        <w:t>1840-1849</w:t>
      </w:r>
      <w:r>
        <w:rPr>
          <w:lang w:val="nl-NL"/>
        </w:rPr>
        <w:t>, 205-207) - in de weeshuiskapel te vervangen door een groter en doelmatiger instrument. De ingebruikneming daarvan vond plaats op 16 juli van hetzelfde jaar bij gelegenheid van het vijftigjarig jubileum van de aanwezigheid van de Zusters van Liefde in Utrecht. Gezien de korte levertijd moet Maarschalkerweerd gebruik hebben gemaakt van een bestaand orgelfront; de herkomst ervan is tot nog toe onbekend.</w:t>
      </w:r>
    </w:p>
    <w:p>
      <w:pPr>
        <w:pStyle w:val="T1"/>
        <w:jc w:val="start"/>
        <w:rPr/>
      </w:pPr>
      <w:r>
        <w:rPr>
          <w:lang w:val="nl-NL"/>
        </w:rPr>
        <w:t xml:space="preserve">Volgens opgave in het cahier </w:t>
      </w:r>
      <w:r>
        <w:rPr>
          <w:i/>
          <w:lang w:val="nl-NL"/>
        </w:rPr>
        <w:t>Orgeldisposities</w:t>
      </w:r>
      <w:r>
        <w:rPr>
          <w:lang w:val="nl-NL"/>
        </w:rPr>
        <w:t xml:space="preserve"> van Maarschalkerweerd werd het orgel geleverd ‘</w:t>
      </w:r>
      <w:r>
        <w:rPr>
          <w:i/>
          <w:lang w:val="nl-NL"/>
        </w:rPr>
        <w:t>met behoud van het oude front doch nieuwe zij- en achterkanten</w:t>
      </w:r>
      <w:r>
        <w:rPr>
          <w:lang w:val="nl-NL"/>
        </w:rPr>
        <w:t>’. Een dispositieopgave in de bijlagen bij de bestuursnotulen vermeldt een Octaaf 2' in plaats van de uiteindelijk gerealiseerde Violino 8'.</w:t>
      </w:r>
    </w:p>
    <w:p>
      <w:pPr>
        <w:pStyle w:val="T1"/>
        <w:jc w:val="start"/>
        <w:rPr/>
      </w:pPr>
      <w:r>
        <w:rPr>
          <w:lang w:val="nl-NL"/>
        </w:rPr>
        <w:t>De frontpijpen zijn thans loos, maar spraken gezien de aanwezige kernsteken en tooninscripties oorspronkelijk in een Prestant 8': B-d in het middenveld, dis-c</w:t>
      </w:r>
      <w:r>
        <w:rPr>
          <w:vertAlign w:val="superscript"/>
          <w:lang w:val="nl-NL"/>
        </w:rPr>
        <w:t>1</w:t>
      </w:r>
      <w:r>
        <w:rPr>
          <w:lang w:val="nl-NL"/>
        </w:rPr>
        <w:t xml:space="preserve"> in de zij- en cis</w:t>
      </w:r>
      <w:r>
        <w:rPr>
          <w:vertAlign w:val="superscript"/>
          <w:lang w:val="nl-NL"/>
        </w:rPr>
        <w:t>1</w:t>
      </w:r>
      <w:r>
        <w:rPr>
          <w:lang w:val="nl-NL"/>
        </w:rPr>
        <w:t>-f</w:t>
      </w:r>
      <w:r>
        <w:rPr>
          <w:vertAlign w:val="superscript"/>
          <w:lang w:val="nl-NL"/>
        </w:rPr>
        <w:t>2</w:t>
      </w:r>
      <w:r>
        <w:rPr>
          <w:lang w:val="nl-NL"/>
        </w:rPr>
        <w:t xml:space="preserve"> in de tussenvelden.</w:t>
      </w:r>
    </w:p>
    <w:p>
      <w:pPr>
        <w:pStyle w:val="T1"/>
        <w:jc w:val="start"/>
        <w:rPr>
          <w:lang w:val="nl-NL"/>
        </w:rPr>
      </w:pPr>
      <w:r>
        <w:rPr>
          <w:lang w:val="nl-NL"/>
        </w:rPr>
        <w:t>Achter het front zijn de verticale jalouzieën van de crescendo-inrichting aangebracht. De bijbehorende ijzeren trede in de vorm van een koppeltrede is niet gebalanceerd en kan niet in geopende stand worden gefixeerd.</w:t>
      </w:r>
    </w:p>
    <w:p>
      <w:pPr>
        <w:pStyle w:val="T1"/>
        <w:jc w:val="start"/>
        <w:rPr>
          <w:lang w:val="nl-NL"/>
        </w:rPr>
      </w:pPr>
      <w:r>
        <w:rPr>
          <w:lang w:val="nl-NL"/>
        </w:rPr>
        <w:t>De gehele klaviatuur is in een uitbouw tegen de rechterzijwand geplaatst. De registerknoppen van beide manualen bevinden zich in een horizontale rij boven de lessenaarbak, de knoppen voor Subbas 16' en koppeling Ped-HW links, die voor windlosser en koppeling HWNW rechts van de handklavieren. Het bovenklavier heeft schuin teruglopende toetsfrontons. De opschriften, waarvan de registernamen in gotisch lettertype, zijn op porseleinen plaatjes op de knoppen aangebracht. In de klavierplank is de firmasignatuur aangebracht. Het pijpwerk van beide manualen staat opgesteld op een gecombineerde sleeplade met dubbele ventielkast, met het NW direct aan de front- en de Cis-kant aan de klaviatuurzijde.</w:t>
      </w:r>
    </w:p>
    <w:p>
      <w:pPr>
        <w:pStyle w:val="T1"/>
        <w:jc w:val="start"/>
        <w:rPr/>
      </w:pPr>
      <w:r>
        <w:rPr>
          <w:lang w:val="nl-NL"/>
        </w:rPr>
        <w:t>De Prestant 8' staat op de tweede sleep vanaf de achterwand, voor C-Fis is een via conducten gevoede vervoerstok tegen de achterwand aangebracht. C-H zijn voorzien van rond opgeworpen labia. Voor C-d</w:t>
      </w:r>
      <w:r>
        <w:rPr>
          <w:vertAlign w:val="superscript"/>
          <w:lang w:val="nl-NL"/>
        </w:rPr>
        <w:t>1</w:t>
      </w:r>
      <w:r>
        <w:rPr>
          <w:lang w:val="nl-NL"/>
        </w:rPr>
        <w:t xml:space="preserve"> van de Bourdon 16'/Subbas 16' is een separate transmissielade langs de linkerzijwand geplaatst, waarbij Maarschalkerweerd voor het eerst gebruik maakt van ‘</w:t>
      </w:r>
      <w:r>
        <w:rPr>
          <w:i/>
          <w:lang w:val="nl-NL"/>
        </w:rPr>
        <w:t>roerpneumatiek en membraan</w:t>
      </w:r>
      <w:r>
        <w:rPr>
          <w:lang w:val="nl-NL"/>
        </w:rPr>
        <w:t>’. Van het bijbehorende grenen pijpwerk staan C-H direct op en c-d</w:t>
      </w:r>
      <w:r>
        <w:rPr>
          <w:vertAlign w:val="superscript"/>
          <w:lang w:val="nl-NL"/>
        </w:rPr>
        <w:t>1</w:t>
      </w:r>
      <w:r>
        <w:rPr>
          <w:lang w:val="nl-NL"/>
        </w:rPr>
        <w:t xml:space="preserve"> op een vervoerstok boven deze transmissielade. Het grenen groot octaaf van de Roerfluit 8' staat op de manuaallade, het vervolg van dit register is van metaal, gedekt en voorzien van roeren. De Holpijp 8' is geheel van metaal, gedekt, evenals dis</w:t>
      </w:r>
      <w:r>
        <w:rPr>
          <w:vertAlign w:val="superscript"/>
          <w:lang w:val="nl-NL"/>
        </w:rPr>
        <w:t>1</w:t>
      </w:r>
      <w:r>
        <w:rPr>
          <w:lang w:val="nl-NL"/>
        </w:rPr>
        <w:t>-f</w:t>
      </w:r>
      <w:r>
        <w:rPr>
          <w:vertAlign w:val="superscript"/>
          <w:lang w:val="nl-NL"/>
        </w:rPr>
        <w:t>3</w:t>
      </w:r>
      <w:r>
        <w:rPr>
          <w:lang w:val="nl-NL"/>
        </w:rPr>
        <w:t xml:space="preserve"> van de Bourdon 16' en C-h</w:t>
      </w:r>
      <w:r>
        <w:rPr>
          <w:vertAlign w:val="superscript"/>
          <w:lang w:val="nl-NL"/>
        </w:rPr>
        <w:t>2</w:t>
      </w:r>
      <w:r>
        <w:rPr>
          <w:lang w:val="nl-NL"/>
        </w:rPr>
        <w:t xml:space="preserve"> van de Fluit dolce 4', c</w:t>
      </w:r>
      <w:r>
        <w:rPr>
          <w:vertAlign w:val="superscript"/>
          <w:lang w:val="nl-NL"/>
        </w:rPr>
        <w:t>2</w:t>
      </w:r>
      <w:r>
        <w:rPr>
          <w:lang w:val="nl-NL"/>
        </w:rPr>
        <w:t>-f</w:t>
      </w:r>
      <w:r>
        <w:rPr>
          <w:vertAlign w:val="superscript"/>
          <w:lang w:val="nl-NL"/>
        </w:rPr>
        <w:t>2</w:t>
      </w:r>
      <w:r>
        <w:rPr>
          <w:lang w:val="nl-NL"/>
        </w:rPr>
        <w:t xml:space="preserve"> van dit laatste register zijn conisch, open. De Viola di Gamba 8’ is in het groot octaaf gecombineerd met de Holpijp 8'. De Violino 8' begint op f en bestaat uit recenter metalen pijpwerk met houten rolbaarden voor f-h en messing freins voor c</w:t>
      </w:r>
      <w:r>
        <w:rPr>
          <w:vertAlign w:val="superscript"/>
          <w:lang w:val="nl-NL"/>
        </w:rPr>
        <w:t>1</w:t>
      </w:r>
      <w:r>
        <w:rPr>
          <w:lang w:val="nl-NL"/>
        </w:rPr>
        <w:t>-f</w:t>
      </w:r>
      <w:r>
        <w:rPr>
          <w:vertAlign w:val="superscript"/>
          <w:lang w:val="nl-NL"/>
        </w:rPr>
        <w:t>3</w:t>
      </w:r>
      <w:r>
        <w:rPr>
          <w:lang w:val="nl-NL"/>
        </w:rPr>
        <w:t>. Voor C-e zijn wel stok- en roostergaten aanwezig. Op de vloer van de orgelkas bevindt zich het pijpwerk van de originele Violéno 8', eveneens vanaf f, voorzien van metalen freins, expressions en corpera met hoger tingehalte. Expressions zijn verder aanwezig bij al het cilindrisch open pijpwerk. Zijbaarden worden aangetroffen bij al het gedekte en conisch open metalen pijpwerk en bij de Prestant 8' (C-f</w:t>
      </w:r>
      <w:r>
        <w:rPr>
          <w:vertAlign w:val="superscript"/>
          <w:lang w:val="nl-NL"/>
        </w:rPr>
        <w:t>1</w:t>
      </w:r>
      <w:r>
        <w:rPr>
          <w:lang w:val="nl-NL"/>
        </w:rPr>
        <w:t>), Octaaf 4' (C-f) en Viola di Gamba 8' (fis</w:t>
      </w:r>
      <w:r>
        <w:rPr>
          <w:vertAlign w:val="superscript"/>
          <w:lang w:val="nl-NL"/>
        </w:rPr>
        <w:t>2</w:t>
      </w:r>
      <w:r>
        <w:rPr>
          <w:lang w:val="nl-NL"/>
        </w:rPr>
        <w:t>-f</w:t>
      </w:r>
      <w:r>
        <w:rPr>
          <w:vertAlign w:val="superscript"/>
          <w:lang w:val="nl-NL"/>
        </w:rPr>
        <w:t>3</w:t>
      </w:r>
      <w:r>
        <w:rPr>
          <w:lang w:val="nl-NL"/>
        </w:rPr>
        <w:t>). Het pijpwerk voor c-f</w:t>
      </w:r>
      <w:r>
        <w:rPr>
          <w:vertAlign w:val="superscript"/>
          <w:lang w:val="nl-NL"/>
        </w:rPr>
        <w:t>2</w:t>
      </w:r>
      <w:r>
        <w:rPr>
          <w:lang w:val="nl-NL"/>
        </w:rPr>
        <w:t xml:space="preserve"> van de Viola di Gamba 8' is voorzien van schuine kastbaarden.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pPr>
    <w:rPr>
      <w:rFonts w:ascii="Univers;Arial" w:hAnsi="Univers;Arial" w:cs="Univers;Arial"/>
      <w:i/>
      <w:spacing w:val="-3"/>
      <w:sz w:val="22"/>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2006-04-25T13:04:00Z</dcterms:created>
  <dc:creator>WS1</dc:creator>
  <dc:description/>
  <dc:language>en-US</dc:language>
  <cp:lastModifiedBy>WS1</cp:lastModifiedBy>
  <dcterms:modified xsi:type="dcterms:W3CDTF">2006-04-25T13:04:00Z</dcterms:modified>
  <cp:revision>2</cp:revision>
  <dc:subject/>
  <dc:title>Utrecht / 1880 ca</dc:title>
</cp:coreProperties>
</file>