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Dedemsvaart / 1881</w:t>
      </w:r>
    </w:p>
    <w:p>
      <w:pPr>
        <w:pStyle w:val="Heading2"/>
        <w:rPr>
          <w:i w:val="false"/>
          <w:i w:val="false"/>
          <w:iCs/>
        </w:rPr>
      </w:pPr>
      <w:r>
        <w:rPr>
          <w:i w:val="false"/>
          <w:iCs/>
        </w:rPr>
        <w:t>R.K. St-Vituskerk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In oorsprong een driebeukige neogotische kruishallenkerk met slanke toren, gebouwd in 1875-1875 naar ontwerp van Alfred Tepe. In 1929-1930 vergroot met een nieuwe koorpartij naar ontwerp van H.C.M. van Beers. Inwendig stenen kruisribgewelven.</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hoogst merkwaardig front, geplaatst voor een tamelijk diepe orgelkas, waarin het werk dwars op het front is geplaatst. Het front, dat weinig verband heeft met de aanzienlijk smallere orgelkas, is ontworpen door de beeldhouwer F.W. Mengelberg, maar wijkt aanzienlijk van diens gebruikelijke fronten af. Men kan het opvatten als een versie van het type Wegdam (1874, deel 1872-1878, 33, afb. 24), waarbij de middentoren/-veld is weggelaten, maar tegelijkertijd is het een vroeg voorbeeld van een open front. De vier velden worden gescheiden door stijlen die eindigen in pinakels, terwijl het pijpwerk verder bijeen wordt gehouden door traceerwerk. Met name de pijpen in de zijvelden steken daar ver boven uit.</w:t>
      </w:r>
    </w:p>
    <w:p>
      <w:pPr>
        <w:pStyle w:val="T2Kunst"/>
        <w:jc w:val="start"/>
        <w:rPr>
          <w:lang w:val="nl-NL"/>
        </w:rPr>
      </w:pPr>
      <w:r>
        <w:rPr>
          <w:lang w:val="nl-NL"/>
        </w:rPr>
        <w:t>De stijlen vertonen halverwege en bij de overgang naar de pinakels een soort ezelsruggen. In de zijvelden ziet men een kielboog, bekroond door een kruisbloem, die het bovendeel van de middelste pijp, die is geciseleerd, aan het oog onttrekt. Zoals bij de fronten van het model Wegdam, zijn de zijvelden voorzien van verhoogde frontstokken; de panelen daaronder zijn versierd met traceerwerk. De middenvelden worden aan de onderzijde afgesloten door de gebruikelijke driehoekige panelen met tekstbanden, hier zonder inscripties, en aan de bovenzijde door de bij Mengelberg/Maarschalkerweerd veel voorkomende halve bogen, met rijke toten. Interessant is dat boven deze bogen een omgekeerde kielboog is aangebracht die gedeeltelijk in de reeds genoemde halve bogen is geïntegreerd.</w:t>
      </w:r>
    </w:p>
    <w:p>
      <w:pPr>
        <w:pStyle w:val="T2Kunst"/>
        <w:jc w:val="start"/>
        <w:rPr>
          <w:lang w:val="nl-NL"/>
        </w:rPr>
      </w:pPr>
      <w:r>
        <w:rPr>
          <w:lang w:val="nl-NL"/>
        </w:rPr>
        <w:t>Enige jaren later zal Maarschalkerweerd in Hoorn het idee van een open front nogmaals toepassen.</w:t>
      </w:r>
    </w:p>
    <w:p>
      <w:pPr>
        <w:pStyle w:val="T1"/>
        <w:jc w:val="start"/>
        <w:rPr>
          <w:lang w:val="nl-NL"/>
        </w:rPr>
      </w:pPr>
      <w:r>
        <w:rPr>
          <w:lang w:val="nl-NL"/>
        </w:rPr>
      </w:r>
    </w:p>
    <w:p>
      <w:pPr>
        <w:pStyle w:val="T3Lit"/>
        <w:rPr>
          <w:lang w:val="nl-NL"/>
        </w:rPr>
      </w:pPr>
      <w:r>
        <w:rPr>
          <w:lang w:val="nl-NL"/>
        </w:rPr>
        <w:t>Orgelnummer 296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1881</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7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Dolcissimo</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calcant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(1881)</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jaar van oplevering is vooralsnog alleen maar bekend door een aanduiding op een messing plaatje boven de lessenaar. De orgelkas, waarvan de diepte aanzienlijk meer is dan de breedte, is aan de bovenzijde vrijwel geheel open. Wellicht heeft Maarschalkerweerd voor deze oplossing gekozen om de toegang tot het oksaal niet te belemmeren.</w:t>
      </w:r>
    </w:p>
    <w:p>
      <w:pPr>
        <w:pStyle w:val="T1"/>
        <w:jc w:val="start"/>
        <w:rPr>
          <w:lang w:val="nl-NL"/>
        </w:rPr>
      </w:pPr>
      <w:r>
        <w:rPr>
          <w:lang w:val="nl-NL"/>
        </w:rPr>
        <w:t>De registertrekkers zijn in een horizontale rij boven de lessenaar geplaatst. De registeropschriften zijn in gotische letters op de knoppen aangebracht. De calcant (met belletje) is nog aanwezig.</w:t>
      </w:r>
    </w:p>
    <w:p>
      <w:pPr>
        <w:pStyle w:val="T1"/>
        <w:jc w:val="start"/>
        <w:rPr>
          <w:lang w:val="nl-NL"/>
        </w:rPr>
      </w:pPr>
      <w:r>
        <w:rPr>
          <w:lang w:val="nl-NL"/>
        </w:rPr>
        <w:t>De windlade is chromatisch ingedeeld en ligt dwars in de kas met de kleinste pijpen aan de klaviatuurzijde. Daarom is de gehele tractuur gemaakt zoals bij een balustradeorgel met zijkantbespeling.</w:t>
      </w:r>
    </w:p>
    <w:p>
      <w:pPr>
        <w:pStyle w:val="T1"/>
        <w:jc w:val="start"/>
        <w:rPr>
          <w:lang w:val="nl-NL"/>
        </w:rPr>
      </w:pPr>
      <w:r>
        <w:rPr>
          <w:lang w:val="nl-NL"/>
        </w:rPr>
        <w:t>De frontpijpen, waaronder twee geciseleerde, zijn stom. Het groot octaaf van de Prestant 8' is van hout, open, het vervolg is van metaal. De Holpijp 8' is geheel van metaal, gedekt en voorzien van boogvormige opsneden. De Dolcissimo 8' is van C-H gecombineerd met de Holpijp 8'. Het vervolg is van metaal, open, licht trechtervormig en voorzien van expressions. Het groot octaaf van de Viola di Gamba 8' is van zink, het vervolg is van orgelmetaal. Het gehele register is voorzien van expressions. De Prestant 4' is grotendeels voorzien van expressions. De bas van de Fluit 4' is open, cilindrisch; de discant is overblazend. De bas van de Octaaf 2' is uitgevoerd in prestantmensuur, de discant is overblazend. Het gehele register is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2006-04-25T13:06:00Z</dcterms:created>
  <dc:creator>WS1</dc:creator>
  <dc:description/>
  <dc:language>en-US</dc:language>
  <cp:lastModifiedBy>WS1</cp:lastModifiedBy>
  <dcterms:modified xsi:type="dcterms:W3CDTF">2006-04-25T13:06:00Z</dcterms:modified>
  <cp:revision>2</cp:revision>
  <dc:subject/>
  <dc:title>Dedemsvaart / 1881</dc:title>
</cp:coreProperties>
</file>