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IJlst / 1881</w:t>
      </w:r>
    </w:p>
    <w:p>
      <w:pPr>
        <w:pStyle w:val="Heading2"/>
        <w:rPr>
          <w:i w:val="false"/>
          <w:i w:val="false"/>
          <w:iCs/>
        </w:rPr>
      </w:pPr>
      <w:r>
        <w:rPr>
          <w:i w:val="false"/>
          <w:iCs/>
        </w:rPr>
        <w:t>Doopsgezinde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Zaalkerk met brede klokgevel, met spitsboogvensters en een neoclassicistische deuromlijsting uit 1857 door M. Molenaar. </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1881</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orgelfront is bijna een tweelingbroer van de eersteling van deze orgelmakers in Westernijkerk uit 1880. Ook in IJlst dus een ontlening aan het bekende Adema-fronttype van onder meer de Doopsgezinde Kerk te Grouw (1872, deel 1872-1878, 50-52): drie torens en vlakke velden, beneden rondbogig en boven met hetzelfde iets 'gecorrigeerde' Adema-karakter. Anders dan bij de Adema’s zien wij in IJlst verhoogde frontstokken in de benedenvelden.</w:t>
      </w:r>
    </w:p>
    <w:p>
      <w:pPr>
        <w:pStyle w:val="T2Kunst"/>
        <w:jc w:val="start"/>
        <w:rPr>
          <w:lang w:val="nl-NL"/>
        </w:rPr>
      </w:pPr>
      <w:r>
        <w:rPr>
          <w:lang w:val="nl-NL"/>
        </w:rPr>
        <w:t>Ook de decoratie is vrijwel gelijk aan die bij opus 1, diverse combinaties van voluutvormen met de C-voluut als 'kiemcel'. De opzetstukken vertonen in hoofdzaak dezelfde vormen; ook hier in het middenstuk een lier als bekroning.</w:t>
      </w:r>
    </w:p>
    <w:p>
      <w:pPr>
        <w:pStyle w:val="T1"/>
        <w:rPr>
          <w:lang w:val="nl-NL"/>
        </w:rPr>
      </w:pPr>
      <w:r>
        <w:rPr>
          <w:lang w:val="nl-NL"/>
        </w:rPr>
      </w:r>
    </w:p>
    <w:p>
      <w:pPr>
        <w:pStyle w:val="T3Lit"/>
        <w:rPr>
          <w:b/>
          <w:b/>
          <w:bCs/>
          <w:lang w:val="nl-NL"/>
        </w:rPr>
      </w:pPr>
      <w:r>
        <w:rPr>
          <w:b/>
          <w:bCs/>
          <w:lang w:val="nl-NL"/>
        </w:rPr>
        <w:t>Literatuur</w:t>
      </w:r>
    </w:p>
    <w:p>
      <w:pPr>
        <w:pStyle w:val="T3Lit"/>
        <w:rPr/>
      </w:pPr>
      <w:r>
        <w:rPr>
          <w:lang w:val="nl-NL"/>
        </w:rPr>
        <w:t xml:space="preserve">Fotokaart </w:t>
      </w:r>
      <w:r>
        <w:rPr>
          <w:i/>
          <w:iCs/>
          <w:lang w:val="nl-NL"/>
        </w:rPr>
        <w:t>De Mixtuur.</w:t>
      </w:r>
    </w:p>
    <w:p>
      <w:pPr>
        <w:pStyle w:val="T3Lit"/>
        <w:rPr/>
      </w:pPr>
      <w:r>
        <w:rPr>
          <w:lang w:val="nl-NL"/>
        </w:rPr>
        <w:t xml:space="preserve">Jan Jongepier, </w:t>
      </w:r>
      <w:r>
        <w:rPr>
          <w:i/>
          <w:lang w:val="nl-NL"/>
        </w:rPr>
        <w:t>Vijf eeuwen Friese orgelbouw</w:t>
      </w:r>
      <w:r>
        <w:rPr>
          <w:lang w:val="nl-NL"/>
        </w:rPr>
        <w:t>. Leeuwarden, 2004, 216.</w:t>
      </w:r>
    </w:p>
    <w:p>
      <w:pPr>
        <w:pStyle w:val="T3Lit"/>
        <w:rPr>
          <w:lang w:val="nl-NL"/>
        </w:rPr>
      </w:pPr>
      <w:r>
        <w:rPr>
          <w:lang w:val="nl-NL"/>
        </w:rPr>
      </w:r>
    </w:p>
    <w:p>
      <w:pPr>
        <w:pStyle w:val="T3Lit"/>
        <w:rPr>
          <w:lang w:val="nl-NL"/>
        </w:rPr>
      </w:pPr>
      <w:r>
        <w:rPr>
          <w:b/>
          <w:bCs/>
          <w:lang w:val="nl-NL"/>
        </w:rPr>
        <w:t>Niet gepubliceerde bron</w:t>
      </w:r>
    </w:p>
    <w:p>
      <w:pPr>
        <w:pStyle w:val="T3Lit"/>
        <w:rPr/>
      </w:pPr>
      <w:r>
        <w:rPr>
          <w:lang w:val="nl-NL"/>
        </w:rPr>
        <w:t xml:space="preserve">A. Bouman, </w:t>
      </w:r>
      <w:r>
        <w:rPr>
          <w:i/>
          <w:iCs/>
          <w:lang w:val="nl-NL"/>
        </w:rPr>
        <w:t>Dispositiecahier VI</w:t>
      </w:r>
      <w:r>
        <w:rPr>
          <w:lang w:val="nl-NL"/>
        </w:rPr>
        <w:t>.</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Bakker &amp; Timmenga</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1881</w:t>
      </w:r>
    </w:p>
    <w:p>
      <w:pPr>
        <w:pStyle w:val="T1"/>
        <w:rPr>
          <w:lang w:val="nl-NL"/>
        </w:rPr>
      </w:pPr>
      <w:r>
        <w:rPr>
          <w:lang w:val="nl-NL"/>
        </w:rPr>
      </w:r>
    </w:p>
    <w:p>
      <w:pPr>
        <w:pStyle w:val="T1"/>
        <w:rPr>
          <w:lang w:val="nl-NL"/>
        </w:rPr>
      </w:pPr>
      <w:r>
        <w:rPr>
          <w:lang w:val="nl-NL"/>
        </w:rPr>
        <w:t>Bakker &amp; Timmenga 1911</w:t>
      </w:r>
    </w:p>
    <w:p>
      <w:pPr>
        <w:pStyle w:val="T1"/>
        <w:rPr/>
      </w:pPr>
      <w:r>
        <w:rPr>
          <w:lang w:val="nl-NL"/>
        </w:rPr>
        <w:t>.</w:t>
        <w:tab/>
      </w:r>
      <w:r>
        <w:rPr/>
        <w:t>schoonmaak en herstel</w:t>
      </w:r>
    </w:p>
    <w:p>
      <w:pPr>
        <w:pStyle w:val="T1"/>
        <w:rPr/>
      </w:pPr>
      <w:r>
        <w:rPr/>
        <w:t>.</w:t>
        <w:tab/>
        <w:t>frontpijpen gepolijst</w:t>
      </w:r>
    </w:p>
    <w:p>
      <w:pPr>
        <w:pStyle w:val="T1"/>
        <w:rPr>
          <w:lang w:val="nl-NL"/>
        </w:rPr>
      </w:pPr>
      <w:r>
        <w:rPr/>
        <w:t>.</w:t>
        <w:tab/>
        <w:t>balg hersteld na schade als gevolg van de droge zomer van 1911</w:t>
      </w:r>
    </w:p>
    <w:p>
      <w:pPr>
        <w:pStyle w:val="T1"/>
        <w:rPr>
          <w:lang w:val="nl-NL"/>
        </w:rPr>
      </w:pPr>
      <w:r>
        <w:rPr>
          <w:lang w:val="nl-NL"/>
        </w:rPr>
      </w:r>
    </w:p>
    <w:p>
      <w:pPr>
        <w:pStyle w:val="T1"/>
        <w:rPr>
          <w:lang w:val="nl-NL"/>
        </w:rPr>
      </w:pPr>
      <w:r>
        <w:rPr>
          <w:lang w:val="nl-NL"/>
        </w:rPr>
        <w:t>Bakker &amp; Timmenga 1953</w:t>
      </w:r>
    </w:p>
    <w:p>
      <w:pPr>
        <w:pStyle w:val="T1"/>
        <w:rPr>
          <w:lang w:val="nl-NL"/>
        </w:rPr>
      </w:pPr>
      <w:r>
        <w:rPr>
          <w:lang w:val="nl-NL"/>
        </w:rPr>
        <w:t>.</w:t>
        <w:tab/>
        <w:t>herstel</w:t>
      </w:r>
    </w:p>
    <w:p>
      <w:pPr>
        <w:pStyle w:val="Normal"/>
        <w:rPr>
          <w:rFonts w:ascii="Times New Roman" w:hAnsi="Times New Roman" w:cs="Times New Roman"/>
          <w:lang w:val="nl-NL"/>
        </w:rPr>
      </w:pPr>
      <w:r>
        <w:rPr>
          <w:rFonts w:cs="Times New Roman" w:ascii="Times New Roman" w:hAnsi="Times New Roman"/>
          <w:lang w:val="nl-NL"/>
        </w:rPr>
      </w:r>
    </w:p>
    <w:p>
      <w:pPr>
        <w:pStyle w:val="Normal"/>
        <w:rPr>
          <w:rFonts w:ascii="Times New Roman" w:hAnsi="Times New Roman" w:cs="Times New Roman"/>
        </w:rPr>
      </w:pPr>
      <w:r>
        <w:rPr>
          <w:rFonts w:cs="Times New Roman" w:ascii="Times New Roman" w:hAnsi="Times New Roman"/>
        </w:rPr>
        <w:t>Orgelmakerij Bakker &amp; Timmenga 1989</w:t>
      </w:r>
    </w:p>
    <w:p>
      <w:pPr>
        <w:pStyle w:val="Normal"/>
        <w:rPr>
          <w:rFonts w:ascii="Times New Roman" w:hAnsi="Times New Roman" w:cs="Times New Roman"/>
        </w:rPr>
      </w:pPr>
      <w:r>
        <w:rPr>
          <w:rFonts w:cs="Times New Roman" w:ascii="Times New Roman" w:hAnsi="Times New Roman"/>
        </w:rPr>
        <w:t>.</w:t>
        <w:tab/>
        <w:t>restauratie</w:t>
      </w:r>
    </w:p>
    <w:p>
      <w:pPr>
        <w:pStyle w:val="T1"/>
        <w:rPr>
          <w:rFonts w:ascii="Times New Roman" w:hAnsi="Times New Roman" w:cs="Times New Roman"/>
          <w:lang w:val="nl-NL"/>
        </w:rPr>
      </w:pPr>
      <w:r>
        <w:rPr>
          <w:rFonts w:cs="Times New Roman"/>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437" w:type="dxa"/>
        <w:jc w:val="start"/>
        <w:tblInd w:w="-70" w:type="dxa"/>
        <w:tblLayout w:type="fixed"/>
        <w:tblCellMar>
          <w:top w:w="0" w:type="dxa"/>
          <w:start w:w="70" w:type="dxa"/>
          <w:bottom w:w="0" w:type="dxa"/>
          <w:end w:w="70" w:type="dxa"/>
        </w:tblCellMar>
      </w:tblPr>
      <w:tblGrid>
        <w:gridCol w:w="1794"/>
        <w:gridCol w:w="643"/>
      </w:tblGrid>
      <w:tr>
        <w:trPr/>
        <w:tc>
          <w:tcPr>
            <w:tcW w:w="1794"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 Harmoniek</w:t>
            </w:r>
          </w:p>
          <w:p>
            <w:pPr>
              <w:pStyle w:val="T4dispositie"/>
              <w:rPr>
                <w:lang w:val="nl-NL"/>
              </w:rPr>
            </w:pPr>
            <w:r>
              <w:rPr>
                <w:lang w:val="nl-NL"/>
              </w:rPr>
              <w:t>Quint</w:t>
            </w:r>
          </w:p>
          <w:p>
            <w:pPr>
              <w:pStyle w:val="T4dispositie"/>
              <w:rPr>
                <w:lang w:val="nl-NL"/>
              </w:rPr>
            </w:pPr>
            <w:r>
              <w:rPr>
                <w:lang w:val="nl-NL"/>
              </w:rPr>
              <w:t>Woudfluit</w:t>
            </w:r>
          </w:p>
          <w:p>
            <w:pPr>
              <w:pStyle w:val="T4dispositie"/>
              <w:rPr>
                <w:lang w:val="nl-NL"/>
              </w:rPr>
            </w:pPr>
            <w:r>
              <w:rPr>
                <w:lang w:val="nl-NL"/>
              </w:rPr>
              <w:t>Cornet D</w:t>
            </w:r>
          </w:p>
          <w:p>
            <w:pPr>
              <w:pStyle w:val="T4dispositie"/>
              <w:rPr>
                <w:lang w:val="nl-NL"/>
              </w:rPr>
            </w:pPr>
            <w:r>
              <w:rPr>
                <w:lang w:val="nl-NL"/>
              </w:rPr>
              <w:t>Trompet</w:t>
            </w:r>
          </w:p>
        </w:tc>
        <w:tc>
          <w:tcPr>
            <w:tcW w:w="643"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 geen pijpwerk aanwezig</w:t>
      </w:r>
    </w:p>
    <w:p>
      <w:pPr>
        <w:pStyle w:val="T4dispositie"/>
        <w:rPr>
          <w:lang w:val="nl-NL"/>
        </w:rPr>
      </w:pPr>
      <w:r>
        <w:rPr>
          <w:lang w:val="nl-NL"/>
        </w:rPr>
      </w:r>
    </w:p>
    <w:p>
      <w:pPr>
        <w:pStyle w:val="T1"/>
        <w:rPr>
          <w:lang w:val="nl-NL"/>
        </w:rPr>
      </w:pPr>
      <w:r>
        <w:rPr>
          <w:lang w:val="nl-NL"/>
        </w:rPr>
        <w:t>Werktuiglijke registers</w:t>
      </w:r>
    </w:p>
    <w:p>
      <w:pPr>
        <w:pStyle w:val="T1"/>
        <w:rPr>
          <w:lang w:val="nl-NL"/>
        </w:rPr>
      </w:pPr>
      <w:r>
        <w:rPr>
          <w:lang w:val="nl-NL"/>
        </w:rPr>
        <w:t>ventiel</w:t>
      </w:r>
    </w:p>
    <w:p>
      <w:pPr>
        <w:pStyle w:val="T1"/>
        <w:rPr>
          <w:lang w:val="nl-NL"/>
        </w:rPr>
      </w:pPr>
      <w:r>
        <w:rPr>
          <w:lang w:val="nl-NL"/>
        </w:rPr>
        <w:t>piano/forte-inrichting</w:t>
      </w:r>
    </w:p>
    <w:p>
      <w:pPr>
        <w:pStyle w:val="T1"/>
        <w:rPr>
          <w:lang w:val="nl-NL"/>
        </w:rPr>
      </w:pPr>
      <w:r>
        <w:rPr>
          <w:lang w:val="nl-NL"/>
        </w:rPr>
      </w:r>
    </w:p>
    <w:p>
      <w:pPr>
        <w:pStyle w:val="T1"/>
        <w:rPr>
          <w:lang w:val="nl-NL"/>
        </w:rPr>
      </w:pPr>
      <w:r>
        <w:rPr>
          <w:lang w:val="nl-NL"/>
        </w:rPr>
        <w:t>Samenstelling vulstem</w:t>
      </w:r>
    </w:p>
    <w:p>
      <w:pPr>
        <w:pStyle w:val="T1"/>
        <w:rPr>
          <w:lang w:val="nl-NL"/>
        </w:rPr>
      </w:pPr>
      <w:r>
        <w:rPr>
          <w:lang w:val="nl-NL"/>
        </w:rPr>
        <w:t xml:space="preserve">Cornet   </w:t>
      </w:r>
      <w:r>
        <w:rPr>
          <w:sz w:val="20"/>
          <w:lang w:val="nl-NL"/>
        </w:rPr>
        <w:t>c</w:t>
      </w:r>
      <w:r>
        <w:rPr>
          <w:sz w:val="20"/>
          <w:vertAlign w:val="superscript"/>
          <w:lang w:val="nl-NL"/>
        </w:rPr>
        <w:t>1</w:t>
      </w:r>
      <w:r>
        <w:rPr>
          <w:sz w:val="20"/>
          <w:lang w:val="nl-NL"/>
        </w:rPr>
        <w:t xml:space="preserve">   4   2 2/3   1 3/5</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437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vertAlign w:val="superscript"/>
          <w:lang w:val="nl-NL"/>
        </w:rPr>
      </w:pPr>
      <w:r>
        <w:rPr>
          <w:lang w:val="nl-NL"/>
        </w:rPr>
        <w:t>C-b</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(1881)</w:t>
      </w:r>
    </w:p>
    <w:p>
      <w:pPr>
        <w:pStyle w:val="T1"/>
        <w:rPr>
          <w:lang w:val="nl-NL"/>
        </w:rPr>
      </w:pPr>
      <w:r>
        <w:rPr>
          <w:lang w:val="nl-NL"/>
        </w:rPr>
        <w:t>Winddruk</w:t>
      </w:r>
    </w:p>
    <w:p>
      <w:pPr>
        <w:pStyle w:val="T1"/>
        <w:rPr>
          <w:lang w:val="nl-NL"/>
        </w:rPr>
      </w:pPr>
      <w:r>
        <w:rPr>
          <w:lang w:val="nl-NL"/>
        </w:rPr>
        <w:t>74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rechterzijde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In het front spreken C-e</w:t>
      </w:r>
      <w:r>
        <w:rPr>
          <w:vertAlign w:val="superscript"/>
          <w:lang w:val="nl-NL"/>
        </w:rPr>
        <w:t>1</w:t>
      </w:r>
      <w:r>
        <w:rPr>
          <w:lang w:val="nl-NL"/>
        </w:rPr>
        <w:t xml:space="preserve"> van de Prestant 8'. Deze staan in de drie torens en in de onderste tussenvelden aan beide zijden de vier aan de middentoren grenzende pijpen. De overige pijpen in de onderste tussenvelden, alsmede alle pijpen in de bovenste tussenvelden, zijn stom.</w:t>
      </w:r>
    </w:p>
    <w:p>
      <w:pPr>
        <w:pStyle w:val="T1"/>
        <w:jc w:val="start"/>
        <w:rPr>
          <w:lang w:val="nl-NL"/>
        </w:rPr>
      </w:pPr>
      <w:r>
        <w:rPr>
          <w:lang w:val="nl-NL"/>
        </w:rPr>
        <w:t>Het handklavier is een eiken balansklavier. Het toetsbeleg is in kunststof vernieuwd. De registerknoppen zijn, horizontaal geordend, boven de lessenaar aangebracht. De knoppen hebben witte porseleinen plaatjes waarop de registernamen in schuinschrift aangebracht zijn.</w:t>
      </w:r>
    </w:p>
    <w:p>
      <w:pPr>
        <w:pStyle w:val="T1"/>
        <w:jc w:val="start"/>
        <w:rPr/>
      </w:pPr>
      <w:r>
        <w:rPr>
          <w:lang w:val="nl-NL"/>
        </w:rPr>
        <w:t>Bij vier registers (Octaaf 4', Quint 3', Woudfluit 2', Cornet) is het registergat beduidend breder gemaakt ten behoeve van een forte/piano-inrichting. Door middel van een ronde messing grendel, op een messing plaatje bevestigd, kunnen van deze registers de trekstokken naar rechts worden geschoven en vervolgens met de grendel worden geborgd. Binnen in de kas bevindt zich een liggende wals boven de trekstokken waaraan vier ijzeren armen zijn bevestigd. Bij het inschakelen van deze registers op de combinatietrede grijpt de ijzeren arm in een uitsparing die in de trekstok is aangebracht. Combinatietreden, uitgevoerd als de toetsen h en c</w:t>
      </w:r>
      <w:r>
        <w:rPr>
          <w:vertAlign w:val="superscript"/>
          <w:lang w:val="nl-NL"/>
        </w:rPr>
        <w:t>1</w:t>
      </w:r>
      <w:r>
        <w:rPr>
          <w:lang w:val="nl-NL"/>
        </w:rPr>
        <w:t xml:space="preserve"> van het pedaalklavier, bedienen dan de wals.</w:t>
      </w:r>
    </w:p>
    <w:p>
      <w:pPr>
        <w:pStyle w:val="T1"/>
        <w:jc w:val="start"/>
        <w:rPr>
          <w:lang w:val="nl-NL"/>
        </w:rPr>
      </w:pPr>
      <w:r>
        <w:rPr>
          <w:lang w:val="nl-NL"/>
        </w:rPr>
        <w:t>De balg bevindt zich in de onderkas. De pompboom is in klampen tegen de achterwand buiten de kas aangebracht.</w:t>
      </w:r>
    </w:p>
    <w:p>
      <w:pPr>
        <w:pStyle w:val="T1"/>
        <w:jc w:val="start"/>
        <w:rPr>
          <w:lang w:val="nl-NL"/>
        </w:rPr>
      </w:pPr>
      <w:r>
        <w:rPr>
          <w:lang w:val="nl-NL"/>
        </w:rPr>
        <w:t>De eiken windlade heeft drie opliggende voorslagen. De cancelvolgorde is als volgt:</w:t>
      </w:r>
    </w:p>
    <w:p>
      <w:pPr>
        <w:pStyle w:val="T1"/>
        <w:jc w:val="start"/>
        <w:rPr/>
      </w:pPr>
      <w:r>
        <w:rPr>
          <w:lang w:val="nl-NL"/>
        </w:rPr>
        <w:t>f cis A G H dis g / f</w:t>
      </w:r>
      <w:r>
        <w:rPr>
          <w:vertAlign w:val="superscript"/>
          <w:lang w:val="nl-NL"/>
        </w:rPr>
        <w:t>3</w:t>
      </w:r>
      <w:r>
        <w:rPr>
          <w:lang w:val="nl-NL"/>
        </w:rPr>
        <w:t>-a / F Dis Cis C D E Fis / b-e</w:t>
      </w:r>
      <w:r>
        <w:rPr>
          <w:vertAlign w:val="superscript"/>
          <w:lang w:val="nl-NL"/>
        </w:rPr>
        <w:t>3</w:t>
      </w:r>
      <w:r>
        <w:rPr>
          <w:lang w:val="nl-NL"/>
        </w:rPr>
        <w:t xml:space="preserve"> / gis e c Gis B d fis.</w:t>
      </w:r>
    </w:p>
    <w:p>
      <w:pPr>
        <w:pStyle w:val="T1"/>
        <w:jc w:val="start"/>
        <w:rPr>
          <w:lang w:val="nl-NL"/>
        </w:rPr>
      </w:pPr>
      <w:r>
        <w:rPr>
          <w:lang w:val="nl-NL"/>
        </w:rPr>
        <w:t>Voor de Trompet is een lege pijpstok op de lade aanwezig, er is voor dit register geen registermechaniek.</w:t>
      </w:r>
    </w:p>
    <w:p>
      <w:pPr>
        <w:pStyle w:val="T1"/>
        <w:jc w:val="start"/>
        <w:rPr/>
      </w:pPr>
      <w:r>
        <w:rPr>
          <w:lang w:val="nl-NL"/>
        </w:rPr>
        <w:t>De Holpijp 8' heeft eiken pijpen in het groot octaaf. De Viola di Gamba 8' is van C-H gecombineerd met de Holpijp, het klein octaaf is van orgelmetaal, de discant is van tin. De Fluit Harmoniek 4' heeft achtereenvolgens gedekt pijpen (C-f), open cilindrische pijpen (fis-fis</w:t>
      </w:r>
      <w:r>
        <w:rPr>
          <w:vertAlign w:val="superscript"/>
          <w:lang w:val="nl-NL"/>
        </w:rPr>
        <w:t>1</w:t>
      </w:r>
      <w:r>
        <w:rPr>
          <w:lang w:val="nl-NL"/>
        </w:rPr>
        <w:t>) en overblazend pijpwerk (vanaf g</w:t>
      </w:r>
      <w:r>
        <w:rPr>
          <w:vertAlign w:val="superscript"/>
          <w:lang w:val="nl-NL"/>
        </w:rPr>
        <w:t>1</w:t>
      </w:r>
      <w:r>
        <w:rPr>
          <w:lang w:val="nl-NL"/>
        </w:rPr>
        <w:t>). De Woudfluit 2' is open, cilindrisch. Het vier-voets koor van de Cornet heeft gedekte pijpen in het eengestreept octaaf.</w:t>
      </w:r>
    </w:p>
    <w:p>
      <w:pPr>
        <w:pStyle w:val="T1"/>
        <w:jc w:val="start"/>
        <w:rPr/>
      </w:pPr>
      <w:r>
        <w:rPr>
          <w:lang w:val="nl-NL"/>
        </w:rPr>
        <w:t>Expressions zijn toegepast bij de Prestant 8' en de Viola di Gamba 8' tot en met h</w:t>
      </w:r>
      <w:r>
        <w:rPr>
          <w:vertAlign w:val="superscript"/>
          <w:lang w:val="nl-NL"/>
        </w:rPr>
        <w:t>2</w:t>
      </w:r>
      <w:r>
        <w:rPr>
          <w:lang w:val="nl-NL"/>
        </w:rPr>
        <w:t>, bij de Octaaf 4' tot en met b</w:t>
      </w:r>
      <w:r>
        <w:rPr>
          <w:vertAlign w:val="superscript"/>
          <w:lang w:val="nl-NL"/>
        </w:rPr>
        <w:t>1</w:t>
      </w:r>
      <w:r>
        <w:rPr>
          <w:lang w:val="nl-NL"/>
        </w:rPr>
        <w:t>, bij de Quint 3' tot en met e</w:t>
      </w:r>
      <w:r>
        <w:rPr>
          <w:vertAlign w:val="superscript"/>
          <w:lang w:val="nl-NL"/>
        </w:rPr>
        <w:t>1</w:t>
      </w:r>
      <w:r>
        <w:rPr>
          <w:lang w:val="nl-NL"/>
        </w:rPr>
        <w:t>. Stemkrullen (vanaf de bovenrand ingesneden) zijn toegepast bij de Woudfluit 2' (C-dis</w:t>
      </w:r>
      <w:r>
        <w:rPr>
          <w:vertAlign w:val="superscript"/>
          <w:lang w:val="nl-NL"/>
        </w:rPr>
        <w:t>1</w:t>
      </w:r>
      <w:r>
        <w:rPr>
          <w:lang w:val="nl-NL"/>
        </w:rPr>
        <w:t>), bij de Cornet 4' (c</w:t>
      </w:r>
      <w:r>
        <w:rPr>
          <w:vertAlign w:val="superscript"/>
          <w:lang w:val="nl-NL"/>
        </w:rPr>
        <w:t>2</w:t>
      </w:r>
      <w:r>
        <w:rPr>
          <w:lang w:val="nl-NL"/>
        </w:rPr>
        <w:t>-e</w:t>
      </w:r>
      <w:r>
        <w:rPr>
          <w:vertAlign w:val="superscript"/>
          <w:lang w:val="nl-NL"/>
        </w:rPr>
        <w:t>2</w:t>
      </w:r>
      <w:r>
        <w:rPr>
          <w:lang w:val="nl-NL"/>
        </w:rPr>
        <w:t>), de Cornet 2 2/3' (c</w:t>
      </w:r>
      <w:r>
        <w:rPr>
          <w:vertAlign w:val="superscript"/>
          <w:lang w:val="nl-NL"/>
        </w:rPr>
        <w:t>1</w:t>
      </w:r>
      <w:r>
        <w:rPr>
          <w:lang w:val="nl-NL"/>
        </w:rPr>
        <w:t>-a</w:t>
      </w:r>
      <w:r>
        <w:rPr>
          <w:vertAlign w:val="superscript"/>
          <w:lang w:val="nl-NL"/>
        </w:rPr>
        <w:t>1</w:t>
      </w:r>
      <w:r>
        <w:rPr>
          <w:lang w:val="nl-NL"/>
        </w:rPr>
        <w:t>) en bij de Cornet 1 3/5' (alleen c</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2006-04-25T13:08:00Z</dcterms:created>
  <dc:creator>WS1</dc:creator>
  <dc:description/>
  <dc:language>en-US</dc:language>
  <cp:lastModifiedBy>WS1</cp:lastModifiedBy>
  <dcterms:modified xsi:type="dcterms:W3CDTF">2006-04-25T13:08:00Z</dcterms:modified>
  <cp:revision>2</cp:revision>
  <dc:subject/>
  <dc:title>IJlst / 1881</dc:title>
</cp:coreProperties>
</file>