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Dongen / 1882</w:t>
      </w:r>
    </w:p>
    <w:p>
      <w:pPr>
        <w:pStyle w:val="Heading2"/>
        <w:rPr>
          <w:i w:val="false"/>
          <w:i w:val="false"/>
          <w:iCs/>
        </w:rPr>
      </w:pPr>
      <w:r>
        <w:rPr>
          <w:i w:val="false"/>
          <w:iCs/>
        </w:rPr>
        <w:t>R.K. St-Laurentiuskerk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Centraalbouw op basis van een achtkant, gebouwd in 1920-1921 naar ontwerp van Joseph Cuypers. Een torenontwerp werd niet uitgevoerd. In de abscis schildering van Joan Collette. Neogotisch hoogaltaar afkomstig uit de gesloten St-Josephkerk te Dongen.</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is afkomstig uit het voormalige Dominicanenklooster te Venlo. In 1879 verwierf een groep Duitse Dominicanen het voormalige Annunciatenklooster te Venlo gebouwd tussen 1618 en 1625, met een kapel in gotische vormen. Het klooster werd door de Dominicanen vergroot, waarbij de kerk werd ingericht in neogotische trant door F.W. Mengelberg. Het zou in de lijn der verwachting liggen dat dit atelier ook het front van het door Rütter geleverde orgel had vervaardigd, doch het stemt met diens vormentaal volstrekt niet overeen. Het klooster in Venlo werd overigens in 1944 geheel verwoest. Het orgel is het enige inventarisstuk dat nog rest.</w:t>
      </w:r>
    </w:p>
    <w:p>
      <w:pPr>
        <w:pStyle w:val="T2Kunst"/>
        <w:jc w:val="start"/>
        <w:rPr>
          <w:lang w:val="nl-NL"/>
        </w:rPr>
      </w:pPr>
      <w:r>
        <w:rPr>
          <w:lang w:val="nl-NL"/>
        </w:rPr>
        <w:t>Het heeft een rijk neogotisch front, met twee forse trapeziumvormige torens en een lager aanzettende vlakke middenpartij, die bestaat uit een tweedelig benedenveld en een ongedeeld bovenveld met driepasafsluiting.</w:t>
      </w:r>
    </w:p>
    <w:p>
      <w:pPr>
        <w:pStyle w:val="T2Kunst"/>
        <w:jc w:val="start"/>
        <w:rPr>
          <w:lang w:val="nl-NL"/>
        </w:rPr>
      </w:pPr>
      <w:r>
        <w:rPr>
          <w:lang w:val="nl-NL"/>
        </w:rPr>
        <w:t>De decoratie is tamelijk rijk, maar wel voor een groot deel machinaal vervaardigd. Blinderingen aan de pijpvoeten ontbreken. Aan de pijpuiteinden in de torens is flamboyant snijwerk aangebracht, afgesloten door inzwenkende lijsten, waartussen spitsbogen en pinakels zijn aangebracht. Dit geheel wordt bekroond door een zeskantige lantaarn, met traceerwerk in flamboyante vormen. De beide benedenvelden worden gescheiden door een stijl met daartegen een pinakel. Het traceerwerk aan de pijpuiteinden bestaat onder andere uit sferische driehoeken. Boven het bovenveld zijn twee rondbogen aangebracht, die opzij op twee zuiltjes rusten en in het midden samenkomen bij een druiper. In de zwikken is traliewerk aangebracht. Daarboven ziet men twee naar boven geopende bogen, die tezamen met de benedenbogen een sferische ruit vormen. Men ziet hier rijke vegetatieve ornamenten. De niet ingesnoerde onderkas wordt van de bovenkas gescheiden door een opengewerkte borstwering in flamboyante vormen. In de onderkas panelen met versieringen samengesteld uit kruisen en linten.</w:t>
      </w:r>
    </w:p>
    <w:p>
      <w:pPr>
        <w:pStyle w:val="T2Kunst"/>
        <w:jc w:val="start"/>
        <w:rPr>
          <w:lang w:val="nl-NL"/>
        </w:rPr>
      </w:pPr>
      <w:r>
        <w:rPr>
          <w:lang w:val="nl-NL"/>
        </w:rPr>
        <w:t>Dit rijke neogotische front heeft in Nederland vrijwel geen gelijke.</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A. Bijvank, ‘Rütter-Orgel herontdekt in Dongen’. </w:t>
      </w:r>
      <w:r>
        <w:rPr>
          <w:i/>
          <w:iCs/>
          <w:lang w:val="nl-NL"/>
        </w:rPr>
        <w:t>De Orgelvriend</w:t>
      </w:r>
      <w:r>
        <w:rPr>
          <w:lang w:val="nl-NL"/>
        </w:rPr>
        <w:t>, 26/2 (1984), 19-21.</w:t>
      </w:r>
    </w:p>
    <w:p>
      <w:pPr>
        <w:pStyle w:val="T3Lit"/>
        <w:jc w:val="start"/>
        <w:rPr/>
      </w:pPr>
      <w:r>
        <w:rPr>
          <w:lang w:val="nl-NL"/>
        </w:rPr>
        <w:t xml:space="preserve">Frans Jespers, </w:t>
      </w:r>
      <w:r>
        <w:rPr>
          <w:i/>
          <w:lang w:val="nl-NL"/>
        </w:rPr>
        <w:t>Brabants Orgelbezit. Een inventarisatie van Brabantse orgels</w:t>
      </w:r>
      <w:r>
        <w:rPr>
          <w:lang w:val="nl-NL"/>
        </w:rPr>
        <w:t>. Tilburg, 1975, 50.</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66-68.</w:t>
      </w:r>
    </w:p>
    <w:p>
      <w:pPr>
        <w:pStyle w:val="T3Lit"/>
        <w:jc w:val="start"/>
        <w:rPr/>
      </w:pPr>
      <w:r>
        <w:rPr>
          <w:lang w:val="nl-NL"/>
        </w:rPr>
        <w:t xml:space="preserve">F. Jespers &amp; W. van Kuilenburg, ‘Broeder Gregorius van Dijk een negentiende-eeuws orgeldeskundige’. In: V. Timmer en T. van Eck (red.), </w:t>
      </w:r>
      <w:r>
        <w:rPr>
          <w:i/>
          <w:iCs/>
          <w:lang w:val="nl-NL"/>
        </w:rPr>
        <w:t>Abraham zien en andere artikelen over het orgel</w:t>
      </w:r>
      <w:r>
        <w:rPr>
          <w:lang w:val="nl-NL"/>
        </w:rPr>
        <w:t>. Voorburg, 1985, 35-52.</w:t>
      </w:r>
    </w:p>
    <w:p>
      <w:pPr>
        <w:pStyle w:val="T3Lit"/>
        <w:jc w:val="start"/>
        <w:rPr>
          <w:lang w:val="nl-NL"/>
        </w:rPr>
      </w:pPr>
      <w:r>
        <w:rPr>
          <w:lang w:val="nl-NL"/>
        </w:rPr>
      </w:r>
    </w:p>
    <w:p>
      <w:pPr>
        <w:pStyle w:val="T3Lit"/>
        <w:jc w:val="start"/>
        <w:rPr>
          <w:lang w:val="nl-NL"/>
        </w:rPr>
      </w:pPr>
      <w:r>
        <w:rPr>
          <w:lang w:val="nl-NL"/>
        </w:rPr>
        <w:t>Monumentnummer 517190</w:t>
      </w:r>
    </w:p>
    <w:p>
      <w:pPr>
        <w:pStyle w:val="T3Lit"/>
        <w:jc w:val="start"/>
        <w:rPr>
          <w:lang w:val="nl-NL"/>
        </w:rPr>
      </w:pPr>
      <w:r>
        <w:rPr>
          <w:lang w:val="nl-NL"/>
        </w:rPr>
        <w:t>Orgelnummer 2017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W. Rütter</w:t>
      </w:r>
    </w:p>
    <w:p>
      <w:pPr>
        <w:pStyle w:val="T1"/>
        <w:jc w:val="start"/>
        <w:rPr>
          <w:lang w:val="nl-NL"/>
        </w:rPr>
      </w:pPr>
      <w:r>
        <w:rPr>
          <w:lang w:val="nl-NL"/>
        </w:rPr>
        <w:t>2. Gebr.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1. 1882</w:t>
      </w:r>
    </w:p>
    <w:p>
      <w:pPr>
        <w:pStyle w:val="T1"/>
        <w:jc w:val="start"/>
        <w:rPr>
          <w:lang w:val="nl-NL"/>
        </w:rPr>
      </w:pPr>
      <w:r>
        <w:rPr>
          <w:lang w:val="nl-NL"/>
        </w:rPr>
        <w:t>2. 1921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Venlo, Dominicanenklooster</w:t>
      </w:r>
    </w:p>
    <w:p>
      <w:pPr>
        <w:pStyle w:val="T1"/>
        <w:jc w:val="start"/>
        <w:rPr>
          <w:lang w:val="nl-NL"/>
        </w:rPr>
      </w:pPr>
      <w:r>
        <w:rPr>
          <w:lang w:val="nl-NL"/>
        </w:rPr>
      </w:r>
    </w:p>
    <w:p>
      <w:pPr>
        <w:pStyle w:val="T1"/>
        <w:jc w:val="start"/>
        <w:rPr/>
      </w:pPr>
      <w:r>
        <w:rPr/>
        <w:t>Dispositie 1882 volgens opgave Gregorius van Dijk</w:t>
      </w:r>
    </w:p>
    <w:tbl>
      <w:tblPr>
        <w:tblW w:w="4755" w:type="dxa"/>
        <w:jc w:val="start"/>
        <w:tblInd w:w="-70" w:type="dxa"/>
        <w:tblLayout w:type="fixed"/>
        <w:tblCellMar>
          <w:top w:w="0" w:type="dxa"/>
          <w:start w:w="70" w:type="dxa"/>
          <w:bottom w:w="0" w:type="dxa"/>
          <w:end w:w="70" w:type="dxa"/>
        </w:tblCellMar>
      </w:tblPr>
      <w:tblGrid>
        <w:gridCol w:w="1510"/>
        <w:gridCol w:w="720"/>
        <w:gridCol w:w="2150"/>
        <w:gridCol w:w="375"/>
      </w:tblGrid>
      <w:tr>
        <w:trPr/>
        <w:tc>
          <w:tcPr>
            <w:tcW w:w="1510" w:type="dxa"/>
            <w:tcBorders/>
          </w:tcPr>
          <w:p>
            <w:pPr>
              <w:pStyle w:val="T4dispositie"/>
              <w:jc w:val="start"/>
              <w:rPr>
                <w:i/>
                <w:i/>
                <w:iCs/>
                <w:lang w:val="nl-NL"/>
              </w:rPr>
            </w:pPr>
            <w:r>
              <w:rPr>
                <w:i/>
                <w:iCs/>
                <w:lang w:val="nl-NL"/>
              </w:rPr>
              <w:t>Groot Orgel</w:t>
            </w:r>
          </w:p>
          <w:p>
            <w:pPr>
              <w:pStyle w:val="T4dispositie"/>
              <w:jc w:val="start"/>
              <w:rPr>
                <w:lang w:val="nl-NL"/>
              </w:rPr>
            </w:pPr>
            <w:r>
              <w:rPr>
                <w:lang w:val="nl-NL"/>
              </w:rPr>
              <w:t>Bourdon</w:t>
            </w:r>
          </w:p>
          <w:p>
            <w:pPr>
              <w:pStyle w:val="T4dispositie"/>
              <w:jc w:val="start"/>
              <w:rPr>
                <w:lang w:val="nl-NL"/>
              </w:rPr>
            </w:pPr>
            <w:r>
              <w:rPr>
                <w:lang w:val="nl-NL"/>
              </w:rPr>
              <w:t>Principaal</w:t>
            </w:r>
          </w:p>
          <w:p>
            <w:pPr>
              <w:pStyle w:val="T4dispositie"/>
              <w:jc w:val="start"/>
              <w:rPr>
                <w:lang w:val="nl-NL"/>
              </w:rPr>
            </w:pPr>
            <w:r>
              <w:rPr>
                <w:lang w:val="nl-NL"/>
              </w:rPr>
              <w:t>Gedact</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Tertz</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1 3/5'</w:t>
            </w:r>
          </w:p>
        </w:tc>
        <w:tc>
          <w:tcPr>
            <w:tcW w:w="2150" w:type="dxa"/>
            <w:tcBorders/>
          </w:tcPr>
          <w:p>
            <w:pPr>
              <w:pStyle w:val="T4dispositie"/>
              <w:jc w:val="start"/>
              <w:rPr>
                <w:i/>
                <w:i/>
                <w:iCs/>
                <w:lang w:val="nl-NL"/>
              </w:rPr>
            </w:pPr>
            <w:r>
              <w:rPr>
                <w:i/>
                <w:iCs/>
                <w:lang w:val="nl-NL"/>
              </w:rPr>
              <w:t>Tweede Manuaal</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Flute traver</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jc w:val="start"/>
        <w:rPr>
          <w:lang w:val="nl-NL"/>
        </w:rPr>
      </w:pPr>
      <w:r>
        <w:rPr>
          <w:lang w:val="nl-NL"/>
        </w:rPr>
      </w:r>
    </w:p>
    <w:p>
      <w:pPr>
        <w:pStyle w:val="T4dispositie"/>
        <w:jc w:val="start"/>
        <w:rPr>
          <w:lang w:val="nl-NL"/>
        </w:rPr>
      </w:pPr>
      <w:r>
        <w:rPr>
          <w:lang w:val="nl-NL"/>
        </w:rPr>
        <w:t>Manuaal Koppel</w:t>
      </w:r>
    </w:p>
    <w:p>
      <w:pPr>
        <w:pStyle w:val="T4dispositie"/>
        <w:jc w:val="start"/>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W. Rütter (?) 1891</w:t>
      </w:r>
    </w:p>
    <w:p>
      <w:pPr>
        <w:pStyle w:val="T1"/>
        <w:jc w:val="start"/>
        <w:rPr>
          <w:lang w:val="nl-NL"/>
        </w:rPr>
      </w:pPr>
      <w:r>
        <w:rPr>
          <w:lang w:val="nl-NL"/>
        </w:rPr>
        <w:t>.</w:t>
        <w:tab/>
        <w:t>dispositiewijzigingen:</w:t>
      </w:r>
    </w:p>
    <w:p>
      <w:pPr>
        <w:pStyle w:val="T1"/>
        <w:jc w:val="start"/>
        <w:rPr>
          <w:lang w:val="nl-NL"/>
        </w:rPr>
      </w:pPr>
      <w:r>
        <w:rPr>
          <w:lang w:val="nl-NL"/>
        </w:rPr>
        <w:tab/>
        <w:t>HW - Gedact 8', - Tertz, + Roerfluit 8' (van NW), + Mixtur 2-3-4 f.</w:t>
      </w:r>
    </w:p>
    <w:p>
      <w:pPr>
        <w:pStyle w:val="T1"/>
        <w:jc w:val="start"/>
        <w:rPr>
          <w:lang w:val="nl-NL"/>
        </w:rPr>
      </w:pPr>
      <w:r>
        <w:rPr>
          <w:lang w:val="nl-NL"/>
        </w:rPr>
        <w:tab/>
        <w:t>NW - Roerfluit 8', + Bordun 8' (van HW), + Trompete 8'</w:t>
      </w:r>
    </w:p>
    <w:p>
      <w:pPr>
        <w:pStyle w:val="T1"/>
        <w:jc w:val="start"/>
        <w:rPr>
          <w:lang w:val="nl-NL"/>
        </w:rPr>
      </w:pPr>
      <w:r>
        <w:rPr>
          <w:lang w:val="nl-NL"/>
        </w:rPr>
      </w:r>
    </w:p>
    <w:p>
      <w:pPr>
        <w:pStyle w:val="T1"/>
        <w:jc w:val="start"/>
        <w:rPr>
          <w:lang w:val="nl-NL"/>
        </w:rPr>
      </w:pPr>
      <w:r>
        <w:rPr>
          <w:lang w:val="nl-NL"/>
        </w:rPr>
        <w:t>Gebr. Vermeulen 1921</w:t>
      </w:r>
    </w:p>
    <w:p>
      <w:pPr>
        <w:pStyle w:val="T1"/>
        <w:jc w:val="start"/>
        <w:rPr>
          <w:lang w:val="nl-NL"/>
        </w:rPr>
      </w:pPr>
      <w:r>
        <w:rPr>
          <w:lang w:val="nl-NL"/>
        </w:rPr>
        <w:t>.</w:t>
        <w:tab/>
        <w:t>orgel overgeplaatst naar Dongen, R.K. St-Laurentiuskerk en uitgebreid met Ped</w:t>
      </w:r>
    </w:p>
    <w:p>
      <w:pPr>
        <w:pStyle w:val="T1"/>
        <w:jc w:val="start"/>
        <w:rPr>
          <w:lang w:val="nl-NL"/>
        </w:rPr>
      </w:pPr>
      <w:r>
        <w:rPr>
          <w:lang w:val="nl-NL"/>
        </w:rPr>
        <w:t>.</w:t>
        <w:tab/>
        <w:t>Bourdon 16' vanaf dat moment als transmissie permanent sprekend in Ped</w:t>
      </w:r>
    </w:p>
    <w:p>
      <w:pPr>
        <w:pStyle w:val="T1"/>
        <w:jc w:val="start"/>
        <w:rPr>
          <w:lang w:val="nl-NL"/>
        </w:rPr>
      </w:pPr>
      <w:r>
        <w:rPr>
          <w:lang w:val="nl-NL"/>
        </w:rPr>
        <w:t>.</w:t>
        <w:tab/>
        <w:t>bediening Trompet 8' pneumatisch gemaakt</w:t>
      </w:r>
    </w:p>
    <w:p>
      <w:pPr>
        <w:pStyle w:val="T1"/>
        <w:jc w:val="start"/>
        <w:rPr>
          <w:lang w:val="nl-NL"/>
        </w:rPr>
      </w:pPr>
      <w:r>
        <w:rPr>
          <w:lang w:val="nl-NL"/>
        </w:rPr>
        <w:t>.</w:t>
        <w:tab/>
        <w:t>dispositiewijzigingen:</w:t>
      </w:r>
    </w:p>
    <w:p>
      <w:pPr>
        <w:pStyle w:val="T1"/>
        <w:ind w:start="708" w:hanging="0"/>
        <w:jc w:val="start"/>
        <w:rPr>
          <w:lang w:val="nl-NL"/>
        </w:rPr>
      </w:pPr>
      <w:r>
        <w:rPr>
          <w:lang w:val="nl-NL"/>
        </w:rPr>
        <w:t>HW - Quint 3', - Superoctave 2', + Flûte harmonique 8', + Trompete 8' (van NW), samenstelling Mixtur gewijzigd</w:t>
      </w:r>
    </w:p>
    <w:p>
      <w:pPr>
        <w:pStyle w:val="T1"/>
        <w:jc w:val="start"/>
        <w:rPr>
          <w:lang w:val="nl-NL"/>
        </w:rPr>
      </w:pPr>
      <w:r>
        <w:rPr>
          <w:lang w:val="nl-NL"/>
        </w:rPr>
        <w:tab/>
        <w:t>NW - Flute traver 4', - Trompete 8', + Fluit 4', + Voix celeste 8'</w:t>
      </w:r>
    </w:p>
    <w:p>
      <w:pPr>
        <w:pStyle w:val="T1"/>
        <w:jc w:val="start"/>
        <w:rPr>
          <w:lang w:val="nl-NL"/>
        </w:rPr>
      </w:pPr>
      <w:r>
        <w:rPr>
          <w:lang w:val="nl-NL"/>
        </w:rPr>
      </w:r>
    </w:p>
    <w:p>
      <w:pPr>
        <w:pStyle w:val="T1"/>
        <w:jc w:val="start"/>
        <w:rPr>
          <w:lang w:val="nl-NL"/>
        </w:rPr>
      </w:pPr>
      <w:r>
        <w:rPr>
          <w:lang w:val="nl-NL"/>
        </w:rPr>
        <w:t>In eigen beheer met medewerking van A. Nijsse &amp; Zn 1983</w:t>
      </w:r>
    </w:p>
    <w:p>
      <w:pPr>
        <w:pStyle w:val="T1"/>
        <w:jc w:val="start"/>
        <w:rPr>
          <w:lang w:val="nl-NL"/>
        </w:rPr>
      </w:pPr>
      <w:r>
        <w:rPr>
          <w:lang w:val="nl-NL"/>
        </w:rPr>
        <w:t>.</w:t>
        <w:tab/>
        <w:t>orgel hersteld</w:t>
      </w:r>
    </w:p>
    <w:p>
      <w:pPr>
        <w:pStyle w:val="T1"/>
        <w:jc w:val="start"/>
        <w:rPr>
          <w:lang w:val="nl-NL"/>
        </w:rPr>
      </w:pPr>
      <w:r>
        <w:rPr>
          <w:lang w:val="nl-NL"/>
        </w:rPr>
        <w:t>.</w:t>
        <w:tab/>
        <w:t>nieuw vrij Ped op sleeplade met elektrische tractuur</w:t>
      </w:r>
    </w:p>
    <w:p>
      <w:pPr>
        <w:pStyle w:val="T1"/>
        <w:jc w:val="start"/>
        <w:rPr>
          <w:lang w:val="nl-NL"/>
        </w:rPr>
      </w:pPr>
      <w:r>
        <w:rPr>
          <w:lang w:val="nl-NL"/>
        </w:rPr>
        <w:t>.</w:t>
        <w:tab/>
        <w:t>nieuwe registeropschriften</w:t>
      </w:r>
    </w:p>
    <w:p>
      <w:pPr>
        <w:pStyle w:val="T1"/>
        <w:jc w:val="start"/>
        <w:rPr>
          <w:lang w:val="nl-NL"/>
        </w:rPr>
      </w:pPr>
      <w:r>
        <w:rPr>
          <w:lang w:val="nl-NL"/>
        </w:rPr>
        <w:t>.</w:t>
        <w:tab/>
        <w:t>dispositiewijzigingen:</w:t>
      </w:r>
    </w:p>
    <w:p>
      <w:pPr>
        <w:pStyle w:val="T1"/>
        <w:jc w:val="start"/>
        <w:rPr>
          <w:lang w:val="nl-NL"/>
        </w:rPr>
      </w:pPr>
      <w:r>
        <w:rPr>
          <w:lang w:val="nl-NL"/>
        </w:rPr>
        <w:tab/>
        <w:t>HW - Flûte harmonique 8', - Trompete 8', + Quint 3', + Octaaf 2'</w:t>
      </w:r>
    </w:p>
    <w:p>
      <w:pPr>
        <w:pStyle w:val="T1"/>
        <w:jc w:val="start"/>
        <w:rPr>
          <w:lang w:val="nl-NL"/>
        </w:rPr>
      </w:pPr>
      <w:r>
        <w:rPr>
          <w:lang w:val="nl-NL"/>
        </w:rPr>
        <w:tab/>
        <w:t>NW - Voix celeste 8', - Fluit 4', + Flöte 4', + Trompete 8' (van HW)</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501" w:type="dxa"/>
        <w:jc w:val="start"/>
        <w:tblInd w:w="-70" w:type="dxa"/>
        <w:tblLayout w:type="fixed"/>
        <w:tblCellMar>
          <w:top w:w="0" w:type="dxa"/>
          <w:start w:w="70" w:type="dxa"/>
          <w:bottom w:w="0" w:type="dxa"/>
          <w:end w:w="70" w:type="dxa"/>
        </w:tblCellMar>
      </w:tblPr>
      <w:tblGrid>
        <w:gridCol w:w="1737"/>
        <w:gridCol w:w="953"/>
        <w:gridCol w:w="1690"/>
        <w:gridCol w:w="375"/>
        <w:gridCol w:w="1266"/>
        <w:gridCol w:w="480"/>
      </w:tblGrid>
      <w:tr>
        <w:trPr/>
        <w:tc>
          <w:tcPr>
            <w:tcW w:w="1737"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Principal</w:t>
            </w:r>
          </w:p>
          <w:p>
            <w:pPr>
              <w:pStyle w:val="T4dispositie"/>
              <w:jc w:val="start"/>
              <w:rPr>
                <w:lang w:val="nl-NL"/>
              </w:rPr>
            </w:pPr>
            <w:r>
              <w:rPr>
                <w:lang w:val="nl-NL"/>
              </w:rPr>
              <w:t>Rohrflöte</w:t>
            </w:r>
          </w:p>
          <w:p>
            <w:pPr>
              <w:pStyle w:val="T4dispositie"/>
              <w:jc w:val="start"/>
              <w:rPr>
                <w:lang w:val="nl-NL"/>
              </w:rPr>
            </w:pPr>
            <w:r>
              <w:rPr>
                <w:lang w:val="nl-NL"/>
              </w:rPr>
              <w:t>Viola di gamba</w:t>
            </w:r>
          </w:p>
          <w:p>
            <w:pPr>
              <w:pStyle w:val="T4dispositie"/>
              <w:jc w:val="start"/>
              <w:rPr>
                <w:lang w:val="nl-NL"/>
              </w:rPr>
            </w:pPr>
            <w:r>
              <w:rPr>
                <w:lang w:val="nl-NL"/>
              </w:rPr>
              <w:t>Octav</w:t>
            </w:r>
          </w:p>
          <w:p>
            <w:pPr>
              <w:pStyle w:val="T4dispositie"/>
              <w:jc w:val="start"/>
              <w:rPr>
                <w:lang w:val="nl-NL"/>
              </w:rPr>
            </w:pPr>
            <w:r>
              <w:rPr>
                <w:lang w:val="nl-NL"/>
              </w:rPr>
              <w:t>Quinte</w:t>
            </w:r>
          </w:p>
          <w:p>
            <w:pPr>
              <w:pStyle w:val="T4dispositie"/>
              <w:jc w:val="start"/>
              <w:rPr>
                <w:lang w:val="nl-NL"/>
              </w:rPr>
            </w:pPr>
            <w:r>
              <w:rPr>
                <w:lang w:val="nl-NL"/>
              </w:rPr>
              <w:t>Octav</w:t>
            </w:r>
          </w:p>
          <w:p>
            <w:pPr>
              <w:pStyle w:val="T4dispositie"/>
              <w:jc w:val="start"/>
              <w:rPr>
                <w:lang w:val="nl-NL"/>
              </w:rPr>
            </w:pPr>
            <w:r>
              <w:rPr>
                <w:lang w:val="nl-NL"/>
              </w:rPr>
              <w:t>Mixtur</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2-3-4 f.</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Salicional</w:t>
            </w:r>
          </w:p>
          <w:p>
            <w:pPr>
              <w:pStyle w:val="T4dispositie"/>
              <w:jc w:val="start"/>
              <w:rPr>
                <w:lang w:val="nl-NL"/>
              </w:rPr>
            </w:pPr>
            <w:r>
              <w:rPr>
                <w:lang w:val="nl-NL"/>
              </w:rPr>
              <w:t>Flöte</w:t>
            </w:r>
          </w:p>
          <w:p>
            <w:pPr>
              <w:pStyle w:val="T4dispositie"/>
              <w:jc w:val="start"/>
              <w:rPr>
                <w:lang w:val="nl-NL"/>
              </w:rPr>
            </w:pPr>
            <w:r>
              <w:rPr>
                <w:lang w:val="nl-NL"/>
              </w:rPr>
              <w:t>Trompete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Subbass</w:t>
            </w:r>
          </w:p>
          <w:p>
            <w:pPr>
              <w:pStyle w:val="T4dispositie"/>
              <w:jc w:val="start"/>
              <w:rPr>
                <w:lang w:val="nl-NL"/>
              </w:rPr>
            </w:pPr>
            <w:r>
              <w:rPr>
                <w:lang w:val="nl-NL"/>
              </w:rPr>
              <w:t>Gedackt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w:t>
      </w:r>
    </w:p>
    <w:p>
      <w:pPr>
        <w:pStyle w:val="T1"/>
        <w:jc w:val="start"/>
        <w:rPr>
          <w:lang w:val="nl-NL"/>
        </w:rPr>
      </w:pPr>
      <w:r>
        <w:rPr>
          <w:lang w:val="nl-NL"/>
        </w:rPr>
      </w:r>
    </w:p>
    <w:p>
      <w:pPr>
        <w:pStyle w:val="T1"/>
        <w:jc w:val="start"/>
        <w:rPr>
          <w:lang w:val="nl-NL"/>
        </w:rPr>
      </w:pPr>
      <w:r>
        <w:rPr>
          <w:lang w:val="nl-NL"/>
        </w:rPr>
        <w:t>Samenstelling vulstem</w:t>
      </w:r>
    </w:p>
    <w:tbl>
      <w:tblPr>
        <w:tblW w:w="4518" w:type="dxa"/>
        <w:jc w:val="start"/>
        <w:tblInd w:w="-70" w:type="dxa"/>
        <w:tblLayout w:type="fixed"/>
        <w:tblCellMar>
          <w:top w:w="0" w:type="dxa"/>
          <w:start w:w="70" w:type="dxa"/>
          <w:bottom w:w="0" w:type="dxa"/>
          <w:end w:w="70" w:type="dxa"/>
        </w:tblCellMar>
      </w:tblPr>
      <w:tblGrid>
        <w:gridCol w:w="906"/>
        <w:gridCol w:w="729"/>
        <w:gridCol w:w="718"/>
        <w:gridCol w:w="718"/>
        <w:gridCol w:w="718"/>
        <w:gridCol w:w="729"/>
      </w:tblGrid>
      <w:tr>
        <w:trPr/>
        <w:tc>
          <w:tcPr>
            <w:tcW w:w="906" w:type="dxa"/>
            <w:tcBorders/>
          </w:tcPr>
          <w:p>
            <w:pPr>
              <w:pStyle w:val="T1"/>
              <w:jc w:val="start"/>
              <w:rPr>
                <w:lang w:val="nl-NL"/>
              </w:rPr>
            </w:pPr>
            <w:r>
              <w:rPr>
                <w:lang w:val="nl-NL"/>
              </w:rPr>
              <w:t>Mixtur</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tc>
        <w:tc>
          <w:tcPr>
            <w:tcW w:w="71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718"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729" w:type="dxa"/>
            <w:tcBorders/>
          </w:tcPr>
          <w:p>
            <w:pPr>
              <w:pStyle w:val="T4dispositie"/>
              <w:jc w:val="start"/>
              <w:rPr/>
            </w:pPr>
            <w:r>
              <w:rPr>
                <w:lang w:val="nl-NL"/>
              </w:rPr>
              <w:t>c</w:t>
            </w:r>
            <w:r>
              <w:rPr>
                <w:vertAlign w:val="superscript"/>
                <w:lang w:val="nl-NL"/>
              </w:rPr>
              <w:t>3</w:t>
            </w:r>
          </w:p>
          <w:p>
            <w:pPr>
              <w:pStyle w:val="T4dispositie"/>
              <w:jc w:val="start"/>
              <w:rPr>
                <w:lang w:val="nl-NL"/>
              </w:rPr>
            </w:pPr>
            <w:r>
              <w:rPr>
                <w:lang w:val="nl-NL"/>
              </w:rPr>
              <w:t>8</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(1882)</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d</w:t>
      </w:r>
      <w:r>
        <w:rPr>
          <w:vertAlign w:val="superscript"/>
          <w:lang w:val="nl-NL"/>
        </w:rPr>
        <w:t>1</w:t>
      </w:r>
      <w:r>
        <w:rPr>
          <w:lang w:val="nl-NL"/>
        </w:rPr>
        <w:t xml:space="preserve"> en dis</w:t>
      </w:r>
      <w:r>
        <w:rPr>
          <w:vertAlign w:val="superscript"/>
          <w:lang w:val="nl-NL"/>
        </w:rPr>
        <w:t>1</w:t>
      </w:r>
      <w:r>
        <w:rPr>
          <w:lang w:val="nl-NL"/>
        </w:rPr>
        <w:t>.</w:t>
      </w:r>
    </w:p>
    <w:p>
      <w:pPr>
        <w:pStyle w:val="T1"/>
        <w:jc w:val="start"/>
        <w:rPr>
          <w:lang w:val="nl-NL"/>
        </w:rPr>
      </w:pPr>
      <w:r>
        <w:rPr>
          <w:lang w:val="nl-NL"/>
        </w:rPr>
        <w:t>De magazijnbalg heeft één vouw; de originele schepbalgen zijn nog aanwezig.</w:t>
      </w:r>
    </w:p>
    <w:p>
      <w:pPr>
        <w:pStyle w:val="T1"/>
        <w:jc w:val="start"/>
        <w:rPr>
          <w:lang w:val="nl-NL"/>
        </w:rPr>
      </w:pPr>
      <w:r>
        <w:rPr>
          <w:lang w:val="nl-NL"/>
        </w:rPr>
        <w:t>De klaviatuur is met neogotische motieven afgewerkt, onder andere een fraaie bank, een sierrand rond de muzieklessenaar, deuren met gestoken en beschilderde bloemmotieven om de klaviatuur af te sluiten.</w:t>
      </w:r>
    </w:p>
    <w:p>
      <w:pPr>
        <w:pStyle w:val="T1"/>
        <w:jc w:val="start"/>
        <w:rPr>
          <w:lang w:val="nl-NL"/>
        </w:rPr>
      </w:pPr>
      <w:r>
        <w:rPr>
          <w:lang w:val="nl-NL"/>
        </w:rPr>
        <w:t>Het pijpwerk van HW en NW staat op een gecombineerde lade met de registers van het HW aan de frontzijde. Achter deze lade is die van het Ped geplaatst.</w:t>
      </w:r>
    </w:p>
    <w:p>
      <w:pPr>
        <w:pStyle w:val="T1"/>
        <w:jc w:val="start"/>
        <w:rPr>
          <w:lang w:val="nl-NL"/>
        </w:rPr>
      </w:pPr>
      <w:r>
        <w:rPr>
          <w:lang w:val="nl-NL"/>
        </w:rPr>
        <w:t>Pijpwerk van Rütter is aanwezig in de registers Bourdon 16', Principal 8', Rohrflöte 8', Viola di gamba 8' en Octav 4' van het HW en Bourdon 8', Salicional 8' en Trompete 8' van het NW.</w:t>
      </w:r>
    </w:p>
    <w:p>
      <w:pPr>
        <w:pStyle w:val="T1"/>
        <w:jc w:val="start"/>
        <w:rPr>
          <w:lang w:val="nl-NL"/>
        </w:rPr>
      </w:pPr>
      <w:r>
        <w:rPr>
          <w:lang w:val="nl-NL"/>
        </w:rPr>
        <w:t>De Principal staat van C-b in het front. Aan de achterzijde ervan is te zien dat de toonhoogte is gewijzigd. Al het oude, open metalen pijpwerk heeft expressions, wat wellicht met een flinke verhoging van de toonhoogte te maken heeft. Van de Bourdon 16' is de bas van vurenhout, de discant metaal. C-H van de Rohrflöte 8' zijn van vurenhout, het klein octaaf is gedekt (metaal), de discant is uitgevoerd als roerfluit. De Viola di gamba 8' heeft freins. De Salicional 8' is van C-H gecombineerd met de Bourdon 8', de overige pijpen zijn voorzien van rolbaarden. De Mixtur bestaat uit oud fabriekspijpwerk met expressions. Het groot octaaf van de Flöte 4' is van hout en nog oud, de rest is van metaal (nieuw). C-H van de Bourdon 8' is van hout, het vervolg is van metaal. De Trompete heeft ronde lepels en Franse krukken, in het groot octaaf zinken bekers. Het pijpwerk van het Ped is van eiken.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2006-04-25T13:19:00Z</dcterms:created>
  <dc:creator>WS1</dc:creator>
  <dc:description/>
  <dc:language>en-US</dc:language>
  <cp:lastModifiedBy>WS1</cp:lastModifiedBy>
  <cp:lastPrinted>2005-12-14T13:51:00Z</cp:lastPrinted>
  <dcterms:modified xsi:type="dcterms:W3CDTF">2006-04-25T13:19:00Z</dcterms:modified>
  <cp:revision>2</cp:revision>
  <dc:subject/>
  <dc:title>Dongen / 1882</dc:title>
</cp:coreProperties>
</file>