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Ede / 1882</w:t>
      </w:r>
    </w:p>
    <w:p>
      <w:pPr>
        <w:pStyle w:val="Heading2"/>
        <w:rPr>
          <w:i w:val="false"/>
          <w:i w:val="false"/>
          <w:iCs/>
        </w:rPr>
      </w:pPr>
      <w:r>
        <w:rPr>
          <w:i w:val="false"/>
          <w:iCs/>
        </w:rPr>
        <w:t>Gereformeerde Noorderkerk</w:t>
      </w:r>
    </w:p>
    <w:p>
      <w:pPr>
        <w:pStyle w:val="T1"/>
        <w:jc w:val="start"/>
        <w:rPr>
          <w:i/>
          <w:i/>
          <w:iCs/>
          <w:lang w:val="nl-NL"/>
        </w:rPr>
      </w:pPr>
      <w:r>
        <w:rPr>
          <w:i/>
          <w:iCs/>
          <w:lang w:val="nl-NL"/>
        </w:rPr>
      </w:r>
    </w:p>
    <w:p>
      <w:pPr>
        <w:pStyle w:val="T1"/>
        <w:jc w:val="start"/>
        <w:rPr>
          <w:lang w:val="nl-NL"/>
        </w:rPr>
      </w:pPr>
      <w:r>
        <w:rPr>
          <w:i/>
          <w:iCs/>
          <w:lang w:val="nl-NL"/>
        </w:rPr>
        <w:t>Kruiskerk in neorenaissance vormen met naast de ingangsgevel een toren met achtkantige bovenbouw, gebouwd in 1903 naar ontwerp van A. Kool. Inwendig houten kap.</w:t>
      </w:r>
    </w:p>
    <w:p>
      <w:pPr>
        <w:pStyle w:val="T1"/>
        <w:jc w:val="start"/>
        <w:rPr>
          <w:lang w:val="nl-NL"/>
        </w:rPr>
      </w:pPr>
      <w:r>
        <w:rPr>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opmerkelijk front in rondboogstijl dat op het eerste gezicht wat moeilijk is te plaatsen. Bij nauwkeuriger beschouwing wordt echter duidelijk dat het een variant is van het model dat Ypma in 1873 toepaste in de St-Jan in Hoogwoud (deel 1872-1878, 104-106) en in 1886 met enige kleine wijzigingen zou herhalen in Warmenhuizen.</w:t>
      </w:r>
    </w:p>
    <w:p>
      <w:pPr>
        <w:pStyle w:val="T2Kunst"/>
        <w:jc w:val="start"/>
        <w:rPr>
          <w:lang w:val="nl-NL"/>
        </w:rPr>
      </w:pPr>
      <w:r>
        <w:rPr>
          <w:lang w:val="nl-NL"/>
        </w:rPr>
        <w:t>Karakteristiek kenmerk van dit fronttype is de middenpartij met bovenin twee brede, door een beeldnis gescheiden rondboogvelden, met steile schuine onderlijsten. De benedenpartij bevat vier smalle rondboogvelden, ter weerszijden van het voetstuk van het Caecilia-beeld in beeldnis. De ontwerper van het orgel in Ede heeft de middenpartij versmald en vervolgens de schuine lijsten van de bovenvelden rechtgetrokken. De beeldnis (ook hier met Caecilia) bleef ook gehandhaafd, maar verhuisde naar de benedenpartij die daarmee driedelig werd. Dit geheel werd vervolgens, evenals in Hoogwoud, bekroond door een fors timpaan en geflankeerd door ronde zijtorens. Bij de plaatsing in Ede werd de beeldnis ook van pijpen voorzien.</w:t>
      </w:r>
    </w:p>
    <w:p>
      <w:pPr>
        <w:pStyle w:val="T2Kunst"/>
        <w:jc w:val="start"/>
        <w:rPr>
          <w:lang w:val="nl-NL"/>
        </w:rPr>
      </w:pPr>
      <w:r>
        <w:rPr>
          <w:lang w:val="nl-NL"/>
        </w:rPr>
        <w:t>De decoratie is betrekkelijk terughoudend. Blinderingen aan de pijpvoeten in de velden ontbreken. Elders zijn het gekoppelde rozetjes. De torens en het timpaan worden bekroond door antefixen. De rondboogvelden worden gescheiden door zuiltjes met ionisch aandoende kapitelen. In het timpaan een decoratie bestaande uit elkaar snijdende S-ranken. In de boogzwikken rozetten. Opmerkelijk zijn de gestileerde draperieën in de onderlijst. Fraai zijn de engelenkopjes onder de torens. De orgelkas eindigt niet bij de torens, maar heeft aan beide zijden nog een van cannelures voorziene verbreding, die uitloopt in een voluutkrul met gestileerd bladwerk.</w:t>
      </w:r>
    </w:p>
    <w:p>
      <w:pPr>
        <w:pStyle w:val="T2Kunst"/>
        <w:jc w:val="start"/>
        <w:rPr>
          <w:lang w:val="nl-NL"/>
        </w:rPr>
      </w:pPr>
      <w:r>
        <w:rPr>
          <w:lang w:val="nl-NL"/>
        </w:rPr>
        <w:t>Zoals vaak bij de rondboogstijl, een onbekommerde vermenging van romaniserende en neoclassicistische elementen.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Cs/>
          <w:lang w:val="nl-NL"/>
        </w:rPr>
        <w:t xml:space="preserve">Erik van der Heijden, </w:t>
      </w:r>
      <w:r>
        <w:rPr>
          <w:i/>
          <w:lang w:val="nl-NL"/>
        </w:rPr>
        <w:t>Orgels in Ede</w:t>
      </w:r>
      <w:r>
        <w:rPr>
          <w:iCs/>
          <w:lang w:val="nl-NL"/>
        </w:rPr>
        <w:t>. Ede, 2004, 27-28.</w:t>
      </w:r>
    </w:p>
    <w:p>
      <w:pPr>
        <w:pStyle w:val="T3Lit"/>
        <w:jc w:val="start"/>
        <w:rPr/>
      </w:pPr>
      <w:r>
        <w:rPr>
          <w:i/>
          <w:lang w:val="nl-NL"/>
        </w:rPr>
        <w:t>Het Orgel</w:t>
      </w:r>
      <w:r>
        <w:rPr>
          <w:lang w:val="nl-NL"/>
        </w:rPr>
        <w:t>, 78/5 (1982), 160-161.</w:t>
      </w:r>
    </w:p>
    <w:p>
      <w:pPr>
        <w:pStyle w:val="T3Lit"/>
        <w:jc w:val="start"/>
        <w:rPr/>
      </w:pPr>
      <w:r>
        <w:rPr>
          <w:lang w:val="nl-NL"/>
        </w:rPr>
        <w:t xml:space="preserve">Bert Wisgerhof, ‘Het Ypma-orgel in de Geref. Noorderkerk te Ede’. </w:t>
      </w:r>
      <w:r>
        <w:rPr>
          <w:i/>
          <w:lang w:val="nl-NL"/>
        </w:rPr>
        <w:t>De Orgelvriend</w:t>
      </w:r>
      <w:r>
        <w:rPr>
          <w:lang w:val="nl-NL"/>
        </w:rPr>
        <w:t>, 22/11 (1980), 12-13.</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rPr/>
      </w:pPr>
      <w:r>
        <w:rPr>
          <w:lang w:val="nl-NL"/>
        </w:rPr>
        <w:t xml:space="preserve">Wim Loos, </w:t>
      </w:r>
      <w:r>
        <w:rPr>
          <w:i/>
          <w:iCs/>
          <w:lang w:val="nl-NL"/>
        </w:rPr>
        <w:t>Inleiding tot het werk van de orgelmakers Ypma</w:t>
      </w:r>
      <w:r>
        <w:rPr>
          <w:lang w:val="nl-NL"/>
        </w:rPr>
        <w:t>. Utrecht, 1990, 122-123.</w:t>
      </w:r>
    </w:p>
    <w:p>
      <w:pPr>
        <w:pStyle w:val="T3Lit"/>
        <w:jc w:val="start"/>
        <w:rPr>
          <w:lang w:val="nl-NL"/>
        </w:rPr>
      </w:pPr>
      <w:r>
        <w:rPr>
          <w:lang w:val="nl-NL"/>
        </w:rPr>
      </w:r>
    </w:p>
    <w:p>
      <w:pPr>
        <w:pStyle w:val="T3Lit"/>
        <w:jc w:val="start"/>
        <w:rPr>
          <w:lang w:val="nl-NL"/>
        </w:rPr>
      </w:pPr>
      <w:r>
        <w:rPr>
          <w:lang w:val="nl-NL"/>
        </w:rPr>
        <w:t>Orgelnummer 399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Ypma &amp; Co</w:t>
      </w:r>
    </w:p>
    <w:p>
      <w:pPr>
        <w:pStyle w:val="T1"/>
        <w:jc w:val="start"/>
        <w:rPr>
          <w:lang w:val="nl-NL"/>
        </w:rPr>
      </w:pPr>
      <w:r>
        <w:rPr>
          <w:lang w:val="nl-NL"/>
        </w:rPr>
        <w:t>2. B. Pels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1. 1882</w:t>
      </w:r>
    </w:p>
    <w:p>
      <w:pPr>
        <w:pStyle w:val="T1"/>
        <w:jc w:val="start"/>
        <w:rPr>
          <w:lang w:val="nl-NL"/>
        </w:rPr>
      </w:pPr>
      <w:r>
        <w:rPr>
          <w:lang w:val="nl-NL"/>
        </w:rPr>
        <w:t>2. 1918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Limmen, R.K. St-Corneliuskerk</w:t>
      </w:r>
    </w:p>
    <w:p>
      <w:pPr>
        <w:pStyle w:val="T1"/>
        <w:jc w:val="start"/>
        <w:rPr>
          <w:lang w:val="nl-NL"/>
        </w:rPr>
      </w:pPr>
      <w:r>
        <w:rPr>
          <w:lang w:val="nl-NL"/>
        </w:rPr>
      </w:r>
    </w:p>
    <w:p>
      <w:pPr>
        <w:pStyle w:val="T1"/>
        <w:jc w:val="start"/>
        <w:rPr>
          <w:lang w:val="nl-NL"/>
        </w:rPr>
      </w:pPr>
      <w:r>
        <w:rPr>
          <w:lang w:val="nl-NL"/>
        </w:rPr>
        <w:t>L. Ypma &amp; Co 1902</w:t>
      </w:r>
    </w:p>
    <w:p>
      <w:pPr>
        <w:pStyle w:val="T1"/>
        <w:jc w:val="start"/>
        <w:rPr>
          <w:lang w:val="nl-NL"/>
        </w:rPr>
      </w:pPr>
      <w:r>
        <w:rPr>
          <w:lang w:val="nl-NL"/>
        </w:rPr>
        <w:t>.</w:t>
        <w:tab/>
        <w:t>orgel overgeplaatst naar nieuw kerkgebouw</w:t>
      </w:r>
    </w:p>
    <w:p>
      <w:pPr>
        <w:pStyle w:val="T1"/>
        <w:jc w:val="start"/>
        <w:rPr>
          <w:lang w:val="nl-NL"/>
        </w:rPr>
      </w:pPr>
      <w:r>
        <w:rPr>
          <w:lang w:val="nl-NL"/>
        </w:rPr>
      </w:r>
    </w:p>
    <w:p>
      <w:pPr>
        <w:pStyle w:val="T1"/>
        <w:jc w:val="start"/>
        <w:rPr>
          <w:lang w:val="nl-NL"/>
        </w:rPr>
      </w:pPr>
      <w:r>
        <w:rPr>
          <w:lang w:val="nl-NL"/>
        </w:rPr>
        <w:t>B. Pels 1917</w:t>
      </w:r>
    </w:p>
    <w:p>
      <w:pPr>
        <w:pStyle w:val="T1"/>
        <w:jc w:val="start"/>
        <w:rPr>
          <w:lang w:val="nl-NL"/>
        </w:rPr>
      </w:pPr>
      <w:r>
        <w:rPr>
          <w:lang w:val="nl-NL"/>
        </w:rPr>
        <w:t>.</w:t>
        <w:tab/>
        <w:t>nieuw orgel te Limmen, Ypma-orgel ingenomen</w:t>
      </w:r>
    </w:p>
    <w:p>
      <w:pPr>
        <w:pStyle w:val="T1"/>
        <w:jc w:val="start"/>
        <w:rPr>
          <w:lang w:val="nl-NL"/>
        </w:rPr>
      </w:pPr>
      <w:r>
        <w:rPr>
          <w:lang w:val="nl-NL"/>
        </w:rPr>
      </w:r>
    </w:p>
    <w:p>
      <w:pPr>
        <w:pStyle w:val="T1"/>
        <w:jc w:val="start"/>
        <w:rPr>
          <w:lang w:val="nl-NL"/>
        </w:rPr>
      </w:pPr>
      <w:r>
        <w:rPr>
          <w:lang w:val="nl-NL"/>
        </w:rPr>
        <w:t>B. Pels 1918</w:t>
      </w:r>
    </w:p>
    <w:p>
      <w:pPr>
        <w:pStyle w:val="T1"/>
        <w:jc w:val="start"/>
        <w:rPr>
          <w:lang w:val="nl-NL"/>
        </w:rPr>
      </w:pPr>
      <w:r>
        <w:rPr>
          <w:lang w:val="nl-NL"/>
        </w:rPr>
        <w:t>.</w:t>
        <w:tab/>
        <w:t>Ypma-orgel geplaatst te Ede, Gereformeerde Noorderkerk</w:t>
      </w:r>
    </w:p>
    <w:p>
      <w:pPr>
        <w:pStyle w:val="T1"/>
        <w:jc w:val="start"/>
        <w:rPr>
          <w:lang w:val="nl-NL"/>
        </w:rPr>
      </w:pPr>
      <w:r>
        <w:rPr>
          <w:lang w:val="nl-NL"/>
        </w:rPr>
        <w:t>.</w:t>
        <w:tab/>
        <w:t>Caeciliabeeld verwijderd en vervangen door frontpijpen</w:t>
      </w:r>
    </w:p>
    <w:p>
      <w:pPr>
        <w:pStyle w:val="T1"/>
        <w:jc w:val="start"/>
        <w:rPr>
          <w:lang w:val="nl-NL"/>
        </w:rPr>
      </w:pPr>
      <w:r>
        <w:rPr>
          <w:lang w:val="nl-NL"/>
        </w:rPr>
        <w:t>.</w:t>
        <w:tab/>
        <w:t>+ Subbas 16' op pneumatische lade</w:t>
      </w:r>
    </w:p>
    <w:p>
      <w:pPr>
        <w:pStyle w:val="T1"/>
        <w:jc w:val="start"/>
        <w:rPr>
          <w:lang w:val="nl-NL"/>
        </w:rPr>
      </w:pPr>
      <w:r>
        <w:rPr>
          <w:lang w:val="nl-NL"/>
        </w:rPr>
      </w:r>
    </w:p>
    <w:p>
      <w:pPr>
        <w:pStyle w:val="T1"/>
        <w:jc w:val="start"/>
        <w:rPr>
          <w:lang w:val="nl-NL"/>
        </w:rPr>
      </w:pPr>
      <w:r>
        <w:rPr>
          <w:lang w:val="nl-NL"/>
        </w:rPr>
        <w:t>H.W. Flentrop 1935</w:t>
      </w:r>
    </w:p>
    <w:p>
      <w:pPr>
        <w:pStyle w:val="T1"/>
        <w:jc w:val="start"/>
        <w:rPr>
          <w:lang w:val="nl-NL"/>
        </w:rPr>
      </w:pPr>
      <w:r>
        <w:rPr>
          <w:lang w:val="nl-NL"/>
        </w:rPr>
        <w:t>.</w:t>
        <w:tab/>
        <w:t>Ped in de kas geplaatst en uitgebreid met Cello 8' en Bazuin 16'</w:t>
      </w:r>
    </w:p>
    <w:p>
      <w:pPr>
        <w:pStyle w:val="T1"/>
        <w:jc w:val="start"/>
        <w:rPr>
          <w:lang w:val="nl-NL"/>
        </w:rPr>
      </w:pPr>
      <w:r>
        <w:rPr>
          <w:lang w:val="nl-NL"/>
        </w:rPr>
        <w:t>.</w:t>
        <w:tab/>
        <w:t>nieuwe Trompet 8' HW</w:t>
      </w:r>
    </w:p>
    <w:p>
      <w:pPr>
        <w:pStyle w:val="T1"/>
        <w:jc w:val="start"/>
        <w:rPr/>
      </w:pPr>
      <w:r>
        <w:rPr>
          <w:lang w:val="nl-NL"/>
        </w:rPr>
        <w:t>.</w:t>
        <w:tab/>
        <w:t>BW + Hobo 8' (op lege plaats), + Aeoline 8</w:t>
      </w:r>
      <w:r>
        <w:rPr/>
        <w:t>'</w:t>
      </w:r>
      <w:r>
        <w:rPr>
          <w:lang w:val="nl-NL"/>
        </w:rPr>
        <w:t xml:space="preserve"> op pneumatische lade</w:t>
      </w:r>
    </w:p>
    <w:p>
      <w:pPr>
        <w:pStyle w:val="T1"/>
        <w:jc w:val="start"/>
        <w:rPr>
          <w:lang w:val="nl-NL"/>
        </w:rPr>
      </w:pPr>
      <w:r>
        <w:rPr>
          <w:lang w:val="nl-NL"/>
        </w:rPr>
      </w:r>
    </w:p>
    <w:p>
      <w:pPr>
        <w:pStyle w:val="T1"/>
        <w:jc w:val="start"/>
        <w:rPr>
          <w:lang w:val="nl-NL"/>
        </w:rPr>
      </w:pPr>
      <w:r>
        <w:rPr>
          <w:lang w:val="nl-NL"/>
        </w:rPr>
        <w:t>A.H. de Graaf 1963</w:t>
      </w:r>
    </w:p>
    <w:p>
      <w:pPr>
        <w:pStyle w:val="T1"/>
        <w:jc w:val="start"/>
        <w:rPr>
          <w:lang w:val="nl-NL"/>
        </w:rPr>
      </w:pPr>
      <w:r>
        <w:rPr>
          <w:lang w:val="nl-NL"/>
        </w:rPr>
        <w:t>.</w:t>
        <w:tab/>
        <w:t>dispositiewijzigingen:</w:t>
      </w:r>
    </w:p>
    <w:p>
      <w:pPr>
        <w:pStyle w:val="T1"/>
        <w:jc w:val="start"/>
        <w:rPr/>
      </w:pPr>
      <w:r>
        <w:rPr>
          <w:lang w:val="nl-NL"/>
        </w:rPr>
        <w:tab/>
        <w:t>HW - Quintfluit 3</w:t>
      </w:r>
      <w:r>
        <w:rPr/>
        <w:t>'</w:t>
      </w:r>
      <w:r>
        <w:rPr>
          <w:lang w:val="nl-NL"/>
        </w:rPr>
        <w:t>; Mixtuur en Trompet 8' vervangen</w:t>
      </w:r>
    </w:p>
    <w:p>
      <w:pPr>
        <w:pStyle w:val="T1"/>
        <w:jc w:val="start"/>
        <w:rPr/>
      </w:pPr>
      <w:r>
        <w:rPr>
          <w:lang w:val="nl-NL"/>
        </w:rPr>
        <w:tab/>
        <w:t>BW - Aeoline 8</w:t>
      </w:r>
      <w:r>
        <w:rPr/>
        <w:t>'</w:t>
      </w:r>
      <w:r>
        <w:rPr>
          <w:lang w:val="nl-NL"/>
        </w:rPr>
        <w:t>, + Quintfluit 3</w:t>
      </w:r>
      <w:r>
        <w:rPr/>
        <w:t>'</w:t>
      </w:r>
      <w:r>
        <w:rPr>
          <w:lang w:val="nl-NL"/>
        </w:rPr>
        <w:t xml:space="preserve"> (vanaf c)</w:t>
      </w:r>
    </w:p>
    <w:p>
      <w:pPr>
        <w:pStyle w:val="T1"/>
        <w:jc w:val="start"/>
        <w:rPr>
          <w:lang w:val="nl-NL"/>
        </w:rPr>
      </w:pPr>
      <w:r>
        <w:rPr>
          <w:lang w:val="nl-NL"/>
        </w:rPr>
      </w:r>
    </w:p>
    <w:p>
      <w:pPr>
        <w:pStyle w:val="T1"/>
        <w:jc w:val="start"/>
        <w:rPr>
          <w:lang w:val="nl-NL"/>
        </w:rPr>
      </w:pPr>
      <w:r>
        <w:rPr>
          <w:lang w:val="nl-NL"/>
        </w:rPr>
        <w:t>Hendriksen &amp; Reitsma 1979</w:t>
      </w:r>
    </w:p>
    <w:p>
      <w:pPr>
        <w:pStyle w:val="T1"/>
        <w:jc w:val="start"/>
        <w:rPr>
          <w:lang w:val="nl-NL"/>
        </w:rPr>
      </w:pPr>
      <w:r>
        <w:rPr>
          <w:lang w:val="nl-NL"/>
        </w:rPr>
        <w:t>.</w:t>
        <w:tab/>
        <w:t>restauratie</w:t>
      </w:r>
    </w:p>
    <w:p>
      <w:pPr>
        <w:pStyle w:val="T1"/>
        <w:jc w:val="start"/>
        <w:rPr>
          <w:lang w:val="nl-NL"/>
        </w:rPr>
      </w:pPr>
      <w:r>
        <w:rPr>
          <w:lang w:val="nl-NL"/>
        </w:rPr>
        <w:t>.</w:t>
        <w:tab/>
        <w:t>windvoorziening gewijzigd</w:t>
      </w:r>
    </w:p>
    <w:p>
      <w:pPr>
        <w:pStyle w:val="T1"/>
        <w:jc w:val="start"/>
        <w:rPr>
          <w:lang w:val="nl-NL"/>
        </w:rPr>
      </w:pPr>
      <w:r>
        <w:rPr>
          <w:lang w:val="nl-NL"/>
        </w:rPr>
        <w:t>.</w:t>
        <w:tab/>
        <w:t>pneumatische tractuur en laden verwijderd</w:t>
      </w:r>
    </w:p>
    <w:p>
      <w:pPr>
        <w:pStyle w:val="T1"/>
        <w:jc w:val="start"/>
        <w:rPr>
          <w:lang w:val="nl-NL"/>
        </w:rPr>
      </w:pPr>
      <w:r>
        <w:rPr>
          <w:lang w:val="nl-NL"/>
        </w:rPr>
        <w:t>.</w:t>
        <w:tab/>
        <w:t>nieuwe mechanische sleeplade voor Ped; lade BW van extra sleep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99" w:type="dxa"/>
        <w:jc w:val="start"/>
        <w:tblInd w:w="-70" w:type="dxa"/>
        <w:tblLayout w:type="fixed"/>
        <w:tblCellMar>
          <w:top w:w="0" w:type="dxa"/>
          <w:start w:w="70" w:type="dxa"/>
          <w:bottom w:w="0" w:type="dxa"/>
          <w:end w:w="70" w:type="dxa"/>
        </w:tblCellMar>
      </w:tblPr>
      <w:tblGrid>
        <w:gridCol w:w="1737"/>
        <w:gridCol w:w="631"/>
        <w:gridCol w:w="1898"/>
        <w:gridCol w:w="375"/>
        <w:gridCol w:w="1266"/>
        <w:gridCol w:w="492"/>
      </w:tblGrid>
      <w:tr>
        <w:trPr/>
        <w:tc>
          <w:tcPr>
            <w:tcW w:w="1737" w:type="dxa"/>
            <w:tcBorders/>
          </w:tcPr>
          <w:p>
            <w:pPr>
              <w:pStyle w:val="T4dispositie"/>
              <w:rPr>
                <w:i/>
                <w:i/>
                <w:iCs/>
              </w:rPr>
            </w:pPr>
            <w:r>
              <w:rPr>
                <w:i/>
                <w:iCs/>
              </w:rPr>
              <w:t>Hoofdwerk (I)</w:t>
            </w:r>
          </w:p>
          <w:p>
            <w:pPr>
              <w:pStyle w:val="T4dispositie"/>
              <w:rPr/>
            </w:pPr>
            <w:r>
              <w:rPr/>
              <w:t>10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Viola di Gamba</w:t>
            </w:r>
          </w:p>
          <w:p>
            <w:pPr>
              <w:pStyle w:val="T4dispositie"/>
              <w:rPr/>
            </w:pPr>
            <w:r>
              <w:rPr/>
              <w:t>Octaaf</w:t>
            </w:r>
          </w:p>
          <w:p>
            <w:pPr>
              <w:pStyle w:val="T4dispositie"/>
              <w:rPr/>
            </w:pPr>
            <w:r>
              <w:rPr/>
              <w:t>Fluit</w:t>
            </w:r>
          </w:p>
          <w:p>
            <w:pPr>
              <w:pStyle w:val="T4dispositie"/>
              <w:rPr/>
            </w:pPr>
            <w:r>
              <w:rPr/>
              <w:t>Doublette</w:t>
            </w:r>
          </w:p>
          <w:p>
            <w:pPr>
              <w:pStyle w:val="T4dispositie"/>
              <w:rPr/>
            </w:pPr>
            <w:r>
              <w:rPr/>
              <w:t>Mixtuur</w:t>
            </w:r>
          </w:p>
          <w:p>
            <w:pPr>
              <w:pStyle w:val="T4dispositie"/>
              <w:rPr/>
            </w:pPr>
            <w:r>
              <w:rPr/>
              <w:t>Cornet D</w:t>
            </w:r>
          </w:p>
          <w:p>
            <w:pPr>
              <w:pStyle w:val="T4dispositie"/>
              <w:rPr/>
            </w:pPr>
            <w:r>
              <w:rPr/>
              <w:t>Trompet B/D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3 st.*</w:t>
            </w:r>
          </w:p>
          <w:p>
            <w:pPr>
              <w:pStyle w:val="T4dispositie"/>
              <w:rPr/>
            </w:pPr>
            <w:r>
              <w:rPr/>
              <w:t>3 st.</w:t>
            </w:r>
          </w:p>
          <w:p>
            <w:pPr>
              <w:pStyle w:val="T4dispositie"/>
              <w:rPr/>
            </w:pPr>
            <w:r>
              <w:rPr/>
              <w:t>8'</w:t>
            </w:r>
          </w:p>
        </w:tc>
        <w:tc>
          <w:tcPr>
            <w:tcW w:w="1898" w:type="dxa"/>
            <w:tcBorders/>
          </w:tcPr>
          <w:p>
            <w:pPr>
              <w:pStyle w:val="T4dispositie"/>
              <w:rPr>
                <w:i/>
                <w:i/>
                <w:iCs/>
              </w:rPr>
            </w:pPr>
            <w:r>
              <w:rPr>
                <w:i/>
                <w:iCs/>
              </w:rPr>
              <w:t>Bovenwerk (II)</w:t>
            </w:r>
          </w:p>
          <w:p>
            <w:pPr>
              <w:pStyle w:val="T4dispositie"/>
              <w:rPr/>
            </w:pPr>
            <w:r>
              <w:rPr/>
              <w:t>7 stemmen</w:t>
            </w:r>
          </w:p>
          <w:p>
            <w:pPr>
              <w:pStyle w:val="T4dispositie"/>
              <w:rPr/>
            </w:pPr>
            <w:r>
              <w:rPr/>
            </w:r>
          </w:p>
          <w:p>
            <w:pPr>
              <w:pStyle w:val="T4dispositie"/>
              <w:rPr/>
            </w:pPr>
            <w:r>
              <w:rPr/>
              <w:t>Bourdon</w:t>
            </w:r>
          </w:p>
          <w:p>
            <w:pPr>
              <w:pStyle w:val="T4dispositie"/>
              <w:rPr/>
            </w:pPr>
            <w:r>
              <w:rPr/>
              <w:t>Salicet</w:t>
            </w:r>
          </w:p>
          <w:p>
            <w:pPr>
              <w:pStyle w:val="T4dispositie"/>
              <w:rPr/>
            </w:pPr>
            <w:r>
              <w:rPr/>
              <w:t>Voix céleste</w:t>
            </w:r>
          </w:p>
          <w:p>
            <w:pPr>
              <w:pStyle w:val="T4dispositie"/>
              <w:rPr/>
            </w:pPr>
            <w:r>
              <w:rPr/>
              <w:t>Flûte harmonique</w:t>
            </w:r>
          </w:p>
          <w:p>
            <w:pPr>
              <w:pStyle w:val="T4dispositie"/>
              <w:rPr/>
            </w:pPr>
            <w:r>
              <w:rPr/>
              <w:t>Quintfluit</w:t>
            </w:r>
          </w:p>
          <w:p>
            <w:pPr>
              <w:pStyle w:val="T4dispositie"/>
              <w:rPr/>
            </w:pPr>
            <w:r>
              <w:rPr/>
              <w:t>Speelfluit</w:t>
            </w:r>
          </w:p>
          <w:p>
            <w:pPr>
              <w:pStyle w:val="T4dispositie"/>
              <w:rPr/>
            </w:pPr>
            <w:r>
              <w:rPr/>
              <w:t>Hobo</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3'</w:t>
            </w:r>
          </w:p>
          <w:p>
            <w:pPr>
              <w:pStyle w:val="T4dispositie"/>
              <w:rPr/>
            </w:pPr>
            <w:r>
              <w:rPr/>
              <w:t>2'</w:t>
            </w:r>
          </w:p>
          <w:p>
            <w:pPr>
              <w:pStyle w:val="T4dispositie"/>
              <w:rPr/>
            </w:pPr>
            <w:r>
              <w:rPr/>
              <w:t>8'</w:t>
            </w:r>
          </w:p>
        </w:tc>
        <w:tc>
          <w:tcPr>
            <w:tcW w:w="1266" w:type="dxa"/>
            <w:tcBorders/>
          </w:tcPr>
          <w:p>
            <w:pPr>
              <w:pStyle w:val="T4dispositie"/>
              <w:rPr>
                <w:i/>
                <w:i/>
                <w:iCs/>
              </w:rPr>
            </w:pPr>
            <w:r>
              <w:rPr>
                <w:i/>
                <w:iCs/>
              </w:rPr>
              <w:t>Pedaal</w:t>
            </w:r>
          </w:p>
          <w:p>
            <w:pPr>
              <w:pStyle w:val="T4dispositie"/>
              <w:rPr/>
            </w:pPr>
            <w:r>
              <w:rPr/>
              <w:t>3 stemmen</w:t>
            </w:r>
          </w:p>
          <w:p>
            <w:pPr>
              <w:pStyle w:val="T4dispositie"/>
              <w:rPr/>
            </w:pPr>
            <w:r>
              <w:rPr/>
            </w:r>
          </w:p>
          <w:p>
            <w:pPr>
              <w:pStyle w:val="T4dispositie"/>
              <w:rPr/>
            </w:pPr>
            <w:r>
              <w:rPr/>
              <w:t>Subbas</w:t>
            </w:r>
          </w:p>
          <w:p>
            <w:pPr>
              <w:pStyle w:val="T4dispositie"/>
              <w:rPr/>
            </w:pPr>
            <w:r>
              <w:rPr/>
              <w:t>Cello</w:t>
            </w:r>
          </w:p>
          <w:p>
            <w:pPr>
              <w:pStyle w:val="T4dispositie"/>
              <w:rPr/>
            </w:pPr>
            <w:r>
              <w:rPr/>
              <w:t>Bazuin</w:t>
            </w:r>
          </w:p>
        </w:tc>
        <w:tc>
          <w:tcPr>
            <w:tcW w:w="49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16'</w:t>
            </w:r>
          </w:p>
        </w:tc>
      </w:tr>
    </w:tbl>
    <w:p>
      <w:pPr>
        <w:pStyle w:val="T4dispositie"/>
        <w:rPr/>
      </w:pPr>
      <w:r>
        <w:rPr/>
      </w:r>
    </w:p>
    <w:p>
      <w:pPr>
        <w:pStyle w:val="T4dispositie"/>
        <w:rPr/>
      </w:pPr>
      <w:r>
        <w:rPr/>
        <w:t>* in werkelijkheid 2-4 st.</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klavierkoppel, pedaalkoppel</w:t>
      </w:r>
    </w:p>
    <w:p>
      <w:pPr>
        <w:pStyle w:val="T1"/>
        <w:jc w:val="start"/>
        <w:rPr>
          <w:lang w:val="nl-NL"/>
        </w:rPr>
      </w:pPr>
      <w:r>
        <w:rPr>
          <w:lang w:val="nl-NL"/>
        </w:rPr>
        <w:t>tremolo</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023"/>
        <w:gridCol w:w="729"/>
        <w:gridCol w:w="718"/>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w:t>
            </w:r>
          </w:p>
          <w:p>
            <w:pPr>
              <w:pStyle w:val="T4dispositie"/>
              <w:rPr/>
            </w:pPr>
            <w:r>
              <w:rPr/>
              <w:t>1 1/3</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18" w:type="dxa"/>
            <w:tcBorders/>
          </w:tcPr>
          <w:p>
            <w:pPr>
              <w:pStyle w:val="T4dispositie"/>
              <w:rPr/>
            </w:pPr>
            <w:r>
              <w:rPr/>
              <w:t>fis</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pPr>
      <w:r>
        <w:rPr>
          <w:lang w:val="nl-NL"/>
        </w:rPr>
        <w:t xml:space="preserve">Cornet   </w:t>
      </w:r>
      <w:r>
        <w:rPr>
          <w:sz w:val="20"/>
        </w:rPr>
        <w:t>c</w:t>
      </w:r>
      <w:r>
        <w:rPr>
          <w:sz w:val="20"/>
          <w:vertAlign w:val="superscript"/>
        </w:rPr>
        <w:t>1</w:t>
      </w:r>
      <w:r>
        <w:rPr>
          <w:sz w:val="20"/>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regulateur en pompinstallatie (1882)</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voorzijde van de kas is van hardhout, de zijwanden en het dak zijn van naaldhout. De oorspronkelijke achterwand van de kas is niet meer aanwezig door het toevoegen van een vrij Ped. De windlade en het pijpwerk daarvan zijn in een aanbouw geplaatst die door een looppad van de lade van het HW wordt gescheiden.</w:t>
      </w:r>
    </w:p>
    <w:p>
      <w:pPr>
        <w:pStyle w:val="T1"/>
        <w:jc w:val="start"/>
        <w:rPr>
          <w:lang w:val="nl-NL"/>
        </w:rPr>
      </w:pPr>
      <w:r>
        <w:rPr>
          <w:lang w:val="nl-NL"/>
        </w:rPr>
        <w:t>Tot 1979 bestond de windvoorziening uit twee magazijnbalgen, waarvan één met pompinstallatie, die op de zolder achter het orgel waren geplaatst. In 1979 kreeg deze zolder een andere bestemming; de kleinste balg werd verwijderd en de overige delen kregen een plaats naast het orgel.</w:t>
      </w:r>
    </w:p>
    <w:p>
      <w:pPr>
        <w:pStyle w:val="T1"/>
        <w:jc w:val="start"/>
        <w:rPr>
          <w:lang w:val="nl-NL"/>
        </w:rPr>
      </w:pPr>
      <w:r>
        <w:rPr>
          <w:lang w:val="nl-NL"/>
        </w:rPr>
        <w:t>Alle windladen zijn ingedeeld in hele tonen. Op de lade van het HW staan C en Cis aan de beide uiteinden, de overige pijpen in hele tonen naar het midden toe aflopend. Op de laden van BW en Ped staan C en Cis in het midden, de overige pijpen in hele tonen naar weerszijden aflopend.</w:t>
      </w:r>
    </w:p>
    <w:p>
      <w:pPr>
        <w:pStyle w:val="T1"/>
        <w:jc w:val="start"/>
        <w:rPr>
          <w:lang w:val="nl-NL"/>
        </w:rPr>
      </w:pPr>
      <w:r>
        <w:rPr>
          <w:lang w:val="nl-NL"/>
        </w:rPr>
        <w:t>De klaviatuur is in hoofdzaak nog origineel, met uitzondering van het pedaalklavier en het registerplaatje van de Mixtuur. Over de oorspronkelijke lessenaar is een nieuwe aangebracht. De registerknoppen van de handklavieren zijn boven de lessenaarbak geplaatst. De registerplaatjes zijn op de knoppen aangebracht en voorzien van opschriften in gotische letters. Ook de mechanieken zijn overwegend origineel, met uitzondering van het Ped.</w:t>
      </w:r>
    </w:p>
    <w:p>
      <w:pPr>
        <w:pStyle w:val="T1"/>
        <w:jc w:val="start"/>
        <w:rPr/>
      </w:pPr>
      <w:r>
        <w:rPr>
          <w:lang w:val="nl-NL"/>
        </w:rPr>
        <w:t>De Prestant 8' van het HW staat van C-h in het front (zijtorens en onderste buitenste velden). De bovenste velden en het onderste middenveld zijn stom. De bas van de Bourdon 16' is van hout. De Viola di Gamba 8' is van C-H gecombineerd met de Prestant 8'. Het groot octaaf van de Holpijp 8' is van hout, de overige pijpen zijn van metaal, gedekt, met een gat in de hoed. Het hoogste octaaf van de Roerfluit 4' is open, conisch. De Cornet staat op de lade. De Trompet B/D 8' heeft metalen stevels, koppen en bekers. De bekers zijn van spotted metal en hebben vanaf fis</w:t>
      </w:r>
      <w:r>
        <w:rPr>
          <w:vertAlign w:val="superscript"/>
          <w:lang w:val="nl-NL"/>
        </w:rPr>
        <w:t>1</w:t>
      </w:r>
      <w:r>
        <w:rPr>
          <w:lang w:val="nl-NL"/>
        </w:rPr>
        <w:t xml:space="preserve"> dubbele lengte.</w:t>
      </w:r>
    </w:p>
    <w:p>
      <w:pPr>
        <w:pStyle w:val="T1"/>
        <w:jc w:val="start"/>
        <w:rPr>
          <w:lang w:val="nl-NL"/>
        </w:rPr>
      </w:pPr>
      <w:r>
        <w:rPr>
          <w:lang w:val="nl-NL"/>
        </w:rPr>
        <w:t>Het groot octaaf van de Salicet 8' (BW) staat afgevoerd tussen het front en de lade. C-H van de Bourdon 8' zijn van hout. De Voix céleste 8' is van C-H gecombineerd met de Salicet. De Flûte harmonique 4' is in de discant overblazend. De Quintfluit 3' begint op c. De Speelfluit 2' is open, cilindrisch. De Hobo 8' heeft metalen stevels en koppen. De bekers zijn vrijwel allemaal van koper.</w:t>
      </w:r>
    </w:p>
    <w:p>
      <w:pPr>
        <w:pStyle w:val="T1"/>
        <w:jc w:val="start"/>
        <w:rPr>
          <w:lang w:val="nl-NL"/>
        </w:rPr>
      </w:pPr>
      <w:r>
        <w:rPr>
          <w:lang w:val="nl-NL"/>
        </w:rPr>
        <w:t>De Subbas 16' is van hout. De Cello 8' is van zink. De Bazuin 16' heeft houten stevels en koppen en zinken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2006-04-25T13:21:00Z</dcterms:created>
  <dc:creator>WS1</dc:creator>
  <dc:description/>
  <dc:language>en-US</dc:language>
  <cp:lastModifiedBy>WS1</cp:lastModifiedBy>
  <dcterms:modified xsi:type="dcterms:W3CDTF">2006-04-25T14:24:00Z</dcterms:modified>
  <cp:revision>3</cp:revision>
  <dc:subject/>
  <dc:title>Ede / 1882</dc:title>
</cp:coreProperties>
</file>