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Oldeboorn (Aldeboarn) / 1882</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lang w:val="nl-NL"/>
        </w:rPr>
      </w:pPr>
      <w:r>
        <w:rPr>
          <w:i/>
          <w:iCs/>
        </w:rPr>
        <w:t>Zaalkerk uit 1855.</w:t>
      </w:r>
    </w:p>
    <w:p>
      <w:pPr>
        <w:pStyle w:val="T1"/>
        <w:jc w:val="start"/>
        <w:rPr>
          <w:lang w:val="nl-NL"/>
        </w:rPr>
      </w:pPr>
      <w:r>
        <w:rPr>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Evenals bij het ongeveer gelijktijdig gebouwde orgel in de Doopsgezinde Kerk te Irnsum, is dit instrument als één geheel behandeld met de eronder geplaatste kansel. Ook de frontopbouw is vergelijkbaar en toont nog duidelijk de schatplichtigheid aan de firma Adema. Ook hier drie ronde torens en holle gedeelde tussenvelden, de onderste rondbogig, de bovenste afgesloten door een inzwenkende lijst. Ook hier weer verhoogde pijpstokken in de velden. De velden zijn echter breder dan in Irnsum, waardoor de bovenvelden ook wat meer volume hebben gekregen wat ze verder verwijdert van het Adema-prototype met zijn wel bijzonder korte bovenvelden. Ook hier verhoogde frontstokken in de benedenvelden.</w:t>
      </w:r>
    </w:p>
    <w:p>
      <w:pPr>
        <w:pStyle w:val="T2Kunst"/>
        <w:jc w:val="start"/>
        <w:rPr/>
      </w:pPr>
      <w:r>
        <w:rPr>
          <w:lang w:val="nl-NL"/>
        </w:rPr>
        <w:t xml:space="preserve">De decoratie is iets rijker dan in Irnsum. Aan de pijpvoeten in de middentoren ziet men twee gekoppelde S-voluten. Zo ook beneden in de zijtorens, maar dan omgekeerd. Boven in de torens zijn met bladwerk gevulde C-voluten aangebracht. In de velden is betrekkelijk eenvoudig voluutwerk aangebracht. De vleugelstukken bestaan uit een S-voluut met </w:t>
      </w:r>
      <w:r>
        <w:rPr>
          <w:i/>
          <w:iCs/>
          <w:lang w:val="nl-NL"/>
        </w:rPr>
        <w:t>Spange</w:t>
      </w:r>
      <w:r>
        <w:rPr>
          <w:lang w:val="nl-NL"/>
        </w:rPr>
        <w:t xml:space="preserve"> met bovenin een naar buiten geopende C-voluut, ongeveer zoals in Irnsum. Op de middentoren een lier; de voluutvormige randen ervan zijn voorzien van zwaanskoppen, een herinnering aan de 'oeleborden' die zo vele Friese boerderijen sieren. Op de zijtorens opzetstukken in vormen die herinneren aan het laat 16e-eeuwse beslagwerk.</w:t>
      </w:r>
    </w:p>
    <w:p>
      <w:pPr>
        <w:pStyle w:val="T1"/>
        <w:jc w:val="start"/>
        <w:rPr>
          <w:lang w:val="nl-NL"/>
        </w:rPr>
      </w:pPr>
      <w:r>
        <w:rPr>
          <w:lang w:val="nl-NL"/>
        </w:rPr>
      </w:r>
    </w:p>
    <w:p>
      <w:pPr>
        <w:pStyle w:val="T3Lit"/>
        <w:rPr>
          <w:b/>
          <w:b/>
          <w:bCs/>
        </w:rPr>
      </w:pPr>
      <w:r>
        <w:rPr>
          <w:b/>
          <w:bCs/>
        </w:rPr>
        <w:t>Literatuur</w:t>
      </w:r>
    </w:p>
    <w:p>
      <w:pPr>
        <w:pStyle w:val="T3Lit"/>
        <w:rPr/>
      </w:pPr>
      <w:r>
        <w:rPr/>
        <w:t xml:space="preserve">Jan Jongepier, </w:t>
      </w:r>
      <w:r>
        <w:rPr>
          <w:i/>
        </w:rPr>
        <w:t>Vijf eeuwen Friese orgelbouw</w:t>
      </w:r>
      <w:r>
        <w:rPr/>
        <w:t>. Leeuwarden, 2004, 176.</w:t>
      </w:r>
    </w:p>
    <w:p>
      <w:pPr>
        <w:pStyle w:val="T3Lit"/>
        <w:rPr/>
      </w:pPr>
      <w:r>
        <w:rPr>
          <w:i/>
        </w:rPr>
        <w:t>De Mixtuur</w:t>
      </w:r>
      <w:r>
        <w:rPr/>
        <w:t>, 56 (1987), 270.</w:t>
      </w:r>
    </w:p>
    <w:p>
      <w:pPr>
        <w:pStyle w:val="T3Lit"/>
        <w:rPr/>
      </w:pPr>
      <w:r>
        <w:rPr>
          <w:i/>
          <w:iCs/>
        </w:rPr>
        <w:t>Leeuwarder Courant</w:t>
      </w:r>
      <w:r>
        <w:rPr/>
        <w:t>, 11 september 1882.</w:t>
      </w:r>
    </w:p>
    <w:p>
      <w:pPr>
        <w:pStyle w:val="T3Lit"/>
        <w:rPr/>
      </w:pPr>
      <w:r>
        <w:rPr/>
      </w:r>
    </w:p>
    <w:p>
      <w:pPr>
        <w:pStyle w:val="T3Lit"/>
        <w:rPr>
          <w:b/>
          <w:b/>
          <w:bCs/>
        </w:rPr>
      </w:pPr>
      <w:r>
        <w:rPr>
          <w:b/>
          <w:bCs/>
        </w:rPr>
        <w:t>Niet gepubliceerde bronnen</w:t>
      </w:r>
    </w:p>
    <w:p>
      <w:pPr>
        <w:pStyle w:val="T3Lit"/>
        <w:jc w:val="start"/>
        <w:rPr/>
      </w:pPr>
      <w:r>
        <w:rPr>
          <w:lang w:val="nl-NL"/>
        </w:rPr>
        <w:t xml:space="preserve">A. Bouman, </w:t>
      </w:r>
      <w:r>
        <w:rPr>
          <w:i/>
          <w:iCs/>
          <w:lang w:val="nl-NL"/>
        </w:rPr>
        <w:t>Dispositiecahier VI</w:t>
      </w:r>
      <w:r>
        <w:rPr>
          <w:lang w:val="nl-NL"/>
        </w:rPr>
        <w:t>.</w:t>
      </w:r>
    </w:p>
    <w:p>
      <w:pPr>
        <w:pStyle w:val="T3Lit"/>
        <w:rPr/>
      </w:pPr>
      <w:r>
        <w:rPr/>
        <w:t>Archief Orgelmakerij Bakker &amp; Timmenga.</w:t>
      </w:r>
    </w:p>
    <w:p>
      <w:pPr>
        <w:pStyle w:val="T3Lit"/>
        <w:rPr/>
      </w:pPr>
      <w:r>
        <w:rPr/>
      </w:r>
    </w:p>
    <w:p>
      <w:pPr>
        <w:pStyle w:val="T3Lit"/>
        <w:rPr/>
      </w:pPr>
      <w:r>
        <w:rPr/>
        <w:t>Monumentnummer 35957</w:t>
      </w:r>
    </w:p>
    <w:p>
      <w:pPr>
        <w:pStyle w:val="T3Lit"/>
        <w:rPr/>
      </w:pPr>
      <w:r>
        <w:rPr/>
        <w:t>Orgelnummer 1121</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pPr>
      <w:r>
        <w:rPr/>
        <w:t>Bouwers</w:t>
      </w:r>
    </w:p>
    <w:p>
      <w:pPr>
        <w:pStyle w:val="T1"/>
        <w:jc w:val="start"/>
        <w:rPr/>
      </w:pPr>
      <w:r>
        <w:rPr/>
        <w:t>1. Bakker &amp; Timmenga</w:t>
      </w:r>
    </w:p>
    <w:p>
      <w:pPr>
        <w:pStyle w:val="T1"/>
        <w:jc w:val="start"/>
        <w:rPr/>
      </w:pPr>
      <w:r>
        <w:rPr/>
        <w:t>2. N.A. van Dam</w:t>
      </w:r>
    </w:p>
    <w:p>
      <w:pPr>
        <w:pStyle w:val="T1"/>
        <w:jc w:val="start"/>
        <w:rPr/>
      </w:pPr>
      <w:r>
        <w:rPr/>
      </w:r>
    </w:p>
    <w:p>
      <w:pPr>
        <w:pStyle w:val="T1"/>
        <w:jc w:val="start"/>
        <w:rPr/>
      </w:pPr>
      <w:r>
        <w:rPr/>
        <w:t>Jaren van oplevering</w:t>
      </w:r>
    </w:p>
    <w:p>
      <w:pPr>
        <w:pStyle w:val="T1"/>
        <w:jc w:val="start"/>
        <w:rPr/>
      </w:pPr>
      <w:r>
        <w:rPr/>
        <w:t>1. 1882</w:t>
      </w:r>
    </w:p>
    <w:p>
      <w:pPr>
        <w:pStyle w:val="T1"/>
        <w:jc w:val="start"/>
        <w:rPr/>
      </w:pPr>
      <w:r>
        <w:rPr/>
        <w:t>2. 1938</w:t>
      </w:r>
    </w:p>
    <w:p>
      <w:pPr>
        <w:pStyle w:val="T1"/>
        <w:jc w:val="start"/>
        <w:rPr>
          <w:lang w:val="nl-NL"/>
        </w:rPr>
      </w:pPr>
      <w:r>
        <w:rPr>
          <w:lang w:val="nl-NL"/>
        </w:rPr>
      </w:r>
    </w:p>
    <w:p>
      <w:pPr>
        <w:pStyle w:val="T1"/>
        <w:jc w:val="start"/>
        <w:rPr>
          <w:lang w:val="nl-NL"/>
        </w:rPr>
      </w:pPr>
      <w:r>
        <w:rPr>
          <w:lang w:val="nl-NL"/>
        </w:rPr>
        <w:t>N.A. van Dam 1938</w:t>
      </w:r>
    </w:p>
    <w:p>
      <w:pPr>
        <w:pStyle w:val="T1"/>
        <w:jc w:val="start"/>
        <w:rPr>
          <w:lang w:val="nl-NL"/>
        </w:rPr>
      </w:pPr>
      <w:r>
        <w:rPr>
          <w:lang w:val="nl-NL"/>
        </w:rPr>
        <w:t>.</w:t>
        <w:tab/>
        <w:t>orgel uitgebreid met pneumatisch vrij Pedaal</w:t>
      </w:r>
    </w:p>
    <w:p>
      <w:pPr>
        <w:pStyle w:val="T1"/>
        <w:numPr>
          <w:ilvl w:val="0"/>
          <w:numId w:val="2"/>
        </w:numPr>
        <w:jc w:val="start"/>
        <w:rPr>
          <w:lang w:val="nl-NL"/>
        </w:rPr>
      </w:pPr>
      <w:r>
        <w:rPr>
          <w:lang w:val="nl-NL"/>
        </w:rPr>
        <w:t>- Roerfluit 8', - Fluit Harmoniek 4', + Roerfluit 4', + Mixtuur 4-5 st.; Bourdon 16' $ Quintadeen 16', Viola 4' $ Terts 1 3/5'</w:t>
      </w:r>
    </w:p>
    <w:p>
      <w:pPr>
        <w:pStyle w:val="T1"/>
        <w:jc w:val="start"/>
        <w:rPr>
          <w:lang w:val="nl-NL"/>
        </w:rPr>
      </w:pPr>
      <w:r>
        <w:rPr>
          <w:lang w:val="nl-NL"/>
        </w:rPr>
      </w:r>
    </w:p>
    <w:p>
      <w:pPr>
        <w:pStyle w:val="T1"/>
        <w:jc w:val="start"/>
        <w:rPr/>
      </w:pPr>
      <w:r>
        <w:rPr/>
        <w:t>Bakker &amp; Timmenga 1941</w:t>
      </w:r>
    </w:p>
    <w:p>
      <w:pPr>
        <w:pStyle w:val="T1"/>
        <w:jc w:val="start"/>
        <w:rPr/>
      </w:pPr>
      <w:r>
        <w:rPr/>
        <w:t>.</w:t>
        <w:tab/>
        <w:t>herstel pijpwerk</w:t>
      </w:r>
    </w:p>
    <w:p>
      <w:pPr>
        <w:pStyle w:val="T1"/>
        <w:jc w:val="start"/>
        <w:rPr/>
      </w:pPr>
      <w:r>
        <w:rPr/>
        <w:t>.</w:t>
        <w:tab/>
        <w:t>herstel windkanalen</w:t>
      </w:r>
    </w:p>
    <w:p>
      <w:pPr>
        <w:pStyle w:val="T1"/>
        <w:jc w:val="start"/>
        <w:rPr/>
      </w:pPr>
      <w:r>
        <w:rPr/>
      </w:r>
    </w:p>
    <w:p>
      <w:pPr>
        <w:pStyle w:val="T1"/>
        <w:jc w:val="start"/>
        <w:rPr>
          <w:lang w:val="nl-NL"/>
        </w:rPr>
      </w:pPr>
      <w:r>
        <w:rPr>
          <w:lang w:val="nl-NL"/>
        </w:rPr>
        <w:t>Orgelmakerij Bakker &amp; Timmenga 1986</w:t>
      </w:r>
    </w:p>
    <w:p>
      <w:pPr>
        <w:pStyle w:val="T1"/>
        <w:jc w:val="start"/>
        <w:rPr>
          <w:lang w:val="nl-NL"/>
        </w:rPr>
      </w:pPr>
      <w:r>
        <w:rPr>
          <w:lang w:val="nl-NL"/>
        </w:rPr>
        <w:t>.</w:t>
        <w:tab/>
        <w:t>windladen gerestaureerd</w:t>
      </w:r>
    </w:p>
    <w:p>
      <w:pPr>
        <w:pStyle w:val="T1"/>
        <w:jc w:val="start"/>
        <w:rPr>
          <w:lang w:val="nl-NL"/>
        </w:rPr>
      </w:pPr>
      <w:r>
        <w:rPr>
          <w:lang w:val="nl-NL"/>
        </w:rPr>
        <w:t>.</w:t>
        <w:tab/>
        <w:t>toetsen pedaalklavier vervangen</w:t>
      </w:r>
    </w:p>
    <w:p>
      <w:pPr>
        <w:pStyle w:val="T1"/>
        <w:jc w:val="start"/>
        <w:rPr>
          <w:lang w:val="nl-NL"/>
        </w:rPr>
      </w:pPr>
      <w:r>
        <w:rPr>
          <w:lang w:val="nl-NL"/>
        </w:rPr>
      </w:r>
    </w:p>
    <w:p>
      <w:pPr>
        <w:pStyle w:val="T1"/>
        <w:jc w:val="start"/>
        <w:rPr>
          <w:lang w:val="nl-NL"/>
        </w:rPr>
      </w:pPr>
      <w:r>
        <w:rPr>
          <w:lang w:val="nl-NL"/>
        </w:rPr>
        <w:t>2000</w:t>
      </w:r>
    </w:p>
    <w:p>
      <w:pPr>
        <w:pStyle w:val="T1"/>
        <w:numPr>
          <w:ilvl w:val="0"/>
          <w:numId w:val="2"/>
        </w:numPr>
        <w:jc w:val="start"/>
        <w:rPr>
          <w:lang w:val="nl-NL"/>
        </w:rPr>
      </w:pPr>
      <w:r>
        <w:rPr>
          <w:lang w:val="nl-NL"/>
        </w:rPr>
        <w:t>orgelkas in het kader van de kerkrestauratie overgeschilderd in lichtgroene kleurstelling (oorspronkelijk zwart)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131" w:type="dxa"/>
        <w:jc w:val="start"/>
        <w:tblInd w:w="-70" w:type="dxa"/>
        <w:tblLayout w:type="fixed"/>
        <w:tblCellMar>
          <w:top w:w="0" w:type="dxa"/>
          <w:start w:w="70" w:type="dxa"/>
          <w:bottom w:w="0" w:type="dxa"/>
          <w:end w:w="70" w:type="dxa"/>
        </w:tblCellMar>
      </w:tblPr>
      <w:tblGrid>
        <w:gridCol w:w="1737"/>
        <w:gridCol w:w="825"/>
        <w:gridCol w:w="1077"/>
        <w:gridCol w:w="492"/>
      </w:tblGrid>
      <w:tr>
        <w:trPr/>
        <w:tc>
          <w:tcPr>
            <w:tcW w:w="1737" w:type="dxa"/>
            <w:tcBorders/>
          </w:tcPr>
          <w:p>
            <w:pPr>
              <w:pStyle w:val="T4dispositie"/>
              <w:rPr>
                <w:i/>
                <w:i/>
                <w:iCs/>
              </w:rPr>
            </w:pPr>
            <w:r>
              <w:rPr>
                <w:i/>
                <w:iCs/>
              </w:rPr>
              <w:t>Manuaal</w:t>
            </w:r>
          </w:p>
          <w:p>
            <w:pPr>
              <w:pStyle w:val="T4dispositie"/>
              <w:rPr/>
            </w:pPr>
            <w:r>
              <w:rPr/>
              <w:t>12 stemmen</w:t>
            </w:r>
          </w:p>
          <w:p>
            <w:pPr>
              <w:pStyle w:val="T4dispositie"/>
              <w:rPr/>
            </w:pPr>
            <w:r>
              <w:rPr/>
            </w:r>
          </w:p>
          <w:p>
            <w:pPr>
              <w:pStyle w:val="T4dispositie"/>
              <w:rPr/>
            </w:pPr>
            <w:r>
              <w:rPr/>
              <w:t>Quintadeen</w:t>
            </w:r>
          </w:p>
          <w:p>
            <w:pPr>
              <w:pStyle w:val="T4dispositie"/>
              <w:rPr/>
            </w:pPr>
            <w:r>
              <w:rPr/>
              <w: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Roerfluit</w:t>
            </w:r>
          </w:p>
          <w:p>
            <w:pPr>
              <w:pStyle w:val="T4dispositie"/>
              <w:rPr/>
            </w:pPr>
            <w:r>
              <w:rPr/>
              <w:t>Quint</w:t>
            </w:r>
          </w:p>
          <w:p>
            <w:pPr>
              <w:pStyle w:val="T4dispositie"/>
              <w:rPr/>
            </w:pPr>
            <w:r>
              <w:rPr/>
              <w:t>Octaaf</w:t>
            </w:r>
          </w:p>
          <w:p>
            <w:pPr>
              <w:pStyle w:val="T4dispositie"/>
              <w:rPr/>
            </w:pPr>
            <w:r>
              <w:rPr/>
              <w:t>Terts</w:t>
            </w:r>
          </w:p>
          <w:p>
            <w:pPr>
              <w:pStyle w:val="T4dispositie"/>
              <w:rPr/>
            </w:pPr>
            <w:r>
              <w:rPr/>
              <w:t>Mixtuur</w:t>
            </w:r>
          </w:p>
          <w:p>
            <w:pPr>
              <w:pStyle w:val="T4dispositie"/>
              <w:rPr/>
            </w:pPr>
            <w:r>
              <w:rPr/>
              <w:t>Basson B</w:t>
            </w:r>
          </w:p>
          <w:p>
            <w:pPr>
              <w:pStyle w:val="T4dispositie"/>
              <w:rPr/>
            </w:pPr>
            <w:r>
              <w:rPr/>
              <w:t>Trompet D</w:t>
            </w:r>
          </w:p>
        </w:tc>
        <w:tc>
          <w:tcPr>
            <w:tcW w:w="825"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1 3/5</w:t>
            </w:r>
            <w:r>
              <w:rPr>
                <w:lang w:val="nl-NL"/>
              </w:rPr>
              <w:t>'</w:t>
            </w:r>
          </w:p>
          <w:p>
            <w:pPr>
              <w:pStyle w:val="T4dispositie"/>
              <w:rPr/>
            </w:pPr>
            <w:r>
              <w:rPr/>
              <w:t>4-5 st.</w:t>
            </w:r>
          </w:p>
          <w:p>
            <w:pPr>
              <w:pStyle w:val="T4dispositie"/>
              <w:rPr/>
            </w:pPr>
            <w:r>
              <w:rPr/>
              <w:t>8</w:t>
            </w:r>
            <w:r>
              <w:rPr>
                <w:lang w:val="nl-NL"/>
              </w:rPr>
              <w:t>'</w:t>
            </w:r>
          </w:p>
          <w:p>
            <w:pPr>
              <w:pStyle w:val="T4dispositie"/>
              <w:rPr/>
            </w:pPr>
            <w:r>
              <w:rPr/>
              <w:t>8</w:t>
            </w:r>
            <w:r>
              <w:rPr>
                <w:lang w:val="nl-NL"/>
              </w:rPr>
              <w:t>'</w:t>
            </w:r>
          </w:p>
        </w:tc>
        <w:tc>
          <w:tcPr>
            <w:tcW w:w="1077" w:type="dxa"/>
            <w:tcBorders/>
          </w:tcPr>
          <w:p>
            <w:pPr>
              <w:pStyle w:val="T4dispositie"/>
              <w:rPr>
                <w:i/>
                <w:i/>
                <w:iCs/>
              </w:rPr>
            </w:pPr>
            <w:r>
              <w:rPr>
                <w:i/>
                <w:iCs/>
              </w:rPr>
              <w:t>Pedaal</w:t>
            </w:r>
          </w:p>
          <w:p>
            <w:pPr>
              <w:pStyle w:val="T4dispositie"/>
              <w:rPr/>
            </w:pPr>
            <w:r>
              <w:rPr/>
              <w:t>1 stem</w:t>
            </w:r>
          </w:p>
          <w:p>
            <w:pPr>
              <w:pStyle w:val="T4dispositie"/>
              <w:rPr/>
            </w:pPr>
            <w:r>
              <w:rPr/>
            </w:r>
          </w:p>
          <w:p>
            <w:pPr>
              <w:pStyle w:val="T4dispositie"/>
              <w:rPr/>
            </w:pPr>
            <w:r>
              <w:rPr/>
              <w:t>Subbas</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twee treden voor in- en uitschakelen voorste en achterste lade</w:t>
      </w:r>
    </w:p>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B</w:t>
            </w:r>
          </w:p>
          <w:p>
            <w:pPr>
              <w:pStyle w:val="T4dispositie"/>
              <w:rPr/>
            </w:pPr>
            <w:r>
              <w:rPr/>
              <w:t>2</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gis</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fis</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(1882)</w:t>
      </w:r>
    </w:p>
    <w:p>
      <w:pPr>
        <w:pStyle w:val="T1"/>
        <w:jc w:val="start"/>
        <w:rPr>
          <w:lang w:val="nl-NL"/>
        </w:rPr>
      </w:pPr>
      <w:r>
        <w:rPr>
          <w:lang w:val="nl-NL"/>
        </w:rPr>
        <w:t>Winddruk</w:t>
      </w:r>
    </w:p>
    <w:p>
      <w:pPr>
        <w:pStyle w:val="T1"/>
        <w:jc w:val="start"/>
        <w:rPr>
          <w:lang w:val="nl-NL"/>
        </w:rPr>
      </w:pPr>
      <w:r>
        <w:rPr>
          <w:lang w:val="nl-NL"/>
        </w:rPr>
        <w:t>100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Dit is het eerste orgel waarbij de orgelmakers Bakker &amp; Timmenga twee gescheiden windladen, elk voorzien van een afsluiting, toepassen bij een eenklaviers orgel. Deze aanleg is een navolging van de Adema-orgels te Grouw (1872) en Deersum (1875).</w:t>
      </w:r>
    </w:p>
    <w:p>
      <w:pPr>
        <w:pStyle w:val="T1"/>
        <w:jc w:val="start"/>
        <w:rPr>
          <w:lang w:val="nl-NL"/>
        </w:rPr>
      </w:pPr>
      <w:r>
        <w:rPr>
          <w:lang w:val="nl-NL"/>
        </w:rPr>
        <w:t>De registervolgorde was oorspronkelijk: voorste lade (vanaf front naar achteren) Prestant 8', Viola di Gamba 8', Roerfluit 8', Viola 4', Fluit Harmoniek 4'; achterste lade (vanaf achterwand naar voren) Bourdon 16', Holpijp 8', Octaaf 4', Quint 3', Octaaf 2', Basson-Trompet 8'.</w:t>
      </w:r>
    </w:p>
    <w:p>
      <w:pPr>
        <w:pStyle w:val="T1"/>
        <w:jc w:val="start"/>
        <w:rPr>
          <w:lang w:val="nl-NL"/>
        </w:rPr>
      </w:pPr>
      <w:r>
        <w:rPr>
          <w:lang w:val="nl-NL"/>
        </w:rPr>
        <w:t>Het handklavier is een eiken balansklavier. Het beleg op de ondertoetsen is van ivoor, origineel, in twee delen per toets opgelijmd. De registerknoppen zijn boven de lessenaar geplaatst. De twee horizontale rijen zijn als twee groepen, corresponderend met de twee laden, tamelijk ver uit elkaar geplaatst. In de tussenruimte is de ovalen porseleinen naamplaat van de bouwers aangebracht.</w:t>
      </w:r>
    </w:p>
    <w:p>
      <w:pPr>
        <w:pStyle w:val="T1"/>
        <w:jc w:val="start"/>
        <w:rPr>
          <w:lang w:val="nl-NL"/>
        </w:rPr>
      </w:pPr>
      <w:r>
        <w:rPr>
          <w:lang w:val="nl-NL"/>
        </w:rPr>
        <w:t>De knoppen hebben witte porseleinen plaatjes waarop de namen in zwart schuinschrift aangebracht zijn. Aan de binnenzijde van de kas is te zien dat er oorspronkelijk nog twee knoppen waren, waarvan de gaten zijn uitgestukt. Er zijn bij deze knoppen echter geen corresponderende overcomplete sleuven in het wippenstuk. De knop voor de Subbas 16' Ped is links naast het klavier geplaatst.</w:t>
      </w:r>
    </w:p>
    <w:p>
      <w:pPr>
        <w:pStyle w:val="T1"/>
        <w:jc w:val="start"/>
        <w:rPr>
          <w:lang w:val="nl-NL"/>
        </w:rPr>
      </w:pPr>
      <w:r>
        <w:rPr>
          <w:lang w:val="nl-NL"/>
        </w:rPr>
        <w:t>De balg bevindt zich in de onderkas. De kanalen zijn van eiken, de afsluitingen bevinden zich in de korte horizontale kanaaldelen opzij van de laden.</w:t>
      </w:r>
    </w:p>
    <w:p>
      <w:pPr>
        <w:pStyle w:val="T1"/>
        <w:jc w:val="start"/>
        <w:rPr/>
      </w:pPr>
      <w:r>
        <w:rPr>
          <w:lang w:val="nl-NL"/>
        </w:rPr>
        <w:t>De beide windladen liggen op gelijk niveau in de kas, gescheiden door een stempad. De laden zijn van eiken, ze bezitten elk drie opliggende voorslagen. De cancelvolgorde is voor beide laden dezelfde: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w:t>
      </w:r>
    </w:p>
    <w:p>
      <w:pPr>
        <w:pStyle w:val="T1"/>
        <w:jc w:val="start"/>
        <w:rPr/>
      </w:pPr>
      <w:r>
        <w:rPr>
          <w:lang w:val="nl-NL"/>
        </w:rPr>
        <w:t>Bij de wijziging van 1938 is de vervoerstok voor C-h van de Bourdon 16' verwijderd en is op dezelfde plaats een pneumatische lade voor C-c</w:t>
      </w:r>
      <w:r>
        <w:rPr>
          <w:vertAlign w:val="superscript"/>
          <w:lang w:val="nl-NL"/>
        </w:rPr>
        <w:t>1</w:t>
      </w:r>
      <w:r>
        <w:rPr>
          <w:lang w:val="nl-NL"/>
        </w:rPr>
        <w:t xml:space="preserve"> van de Bourdon-pijpen geplaatst, aangesloten op de Quintadeen 16' Man en de hieruit voor het Ped afgeleide transmissie met de naam Subbas 16'. Op de sleep van de Bourdon 16' werd de Mixtuur geplaatst, terwijl de discant van de Quintadeen 16' (vanaf cis</w:t>
      </w:r>
      <w:r>
        <w:rPr>
          <w:vertAlign w:val="superscript"/>
          <w:lang w:val="nl-NL"/>
        </w:rPr>
        <w:t>1</w:t>
      </w:r>
      <w:r>
        <w:rPr>
          <w:lang w:val="nl-NL"/>
        </w:rPr>
        <w:t>) op de sleep van de Holpijp 8' werd gezet.</w:t>
      </w:r>
    </w:p>
    <w:p>
      <w:pPr>
        <w:pStyle w:val="T1"/>
        <w:jc w:val="start"/>
        <w:rPr/>
      </w:pPr>
      <w:r>
        <w:rPr>
          <w:lang w:val="nl-NL"/>
        </w:rPr>
        <w:t>Het pijpwerk voor de Mixtuur is in 1938 nieuw geleverd. De overige gewijzigde registers werden geheel uit vermaakt pijpwerk van 1882 samengesteld. De Quintadeen 16' ontstond door aanpassing van de Bourdon 16', waarvan de 24 eiken pijpen ongewijzigd bleven en de 30 metalen pijpen van kastbaarden voorzien werden. De Holpijp 8' van de achterste lade werd op de voorste lade geplaatst ter vervanging van de Roerfluit 8'. De Roerfluit 4' is de opgeschoven Roerfluit 8' die oorspronkelijk op de derde sleep van de voorste lade stond. De Terts 1 3/5' is in de bas (C-h) een quintfluit 1 1/3' en pas vanaf c</w:t>
      </w:r>
      <w:r>
        <w:rPr>
          <w:vertAlign w:val="superscript"/>
          <w:lang w:val="nl-NL"/>
        </w:rPr>
        <w:t>1</w:t>
      </w:r>
      <w:r>
        <w:rPr>
          <w:lang w:val="nl-NL"/>
        </w:rPr>
        <w:t xml:space="preserve"> een terts 1 3/5'. Het pijpwerk van dit register, en dat van het hoogste octaaf van de Roerfluit 4', is ontleend aan de in 1938 verwijderde registers Fluit harmoniek 4' en Viola 4'.</w:t>
      </w:r>
    </w:p>
    <w:p>
      <w:pPr>
        <w:pStyle w:val="T1"/>
        <w:jc w:val="start"/>
        <w:rPr/>
      </w:pPr>
      <w:r>
        <w:rPr>
          <w:lang w:val="nl-NL"/>
        </w:rPr>
        <w:t>In het front spreken C-gis</w:t>
      </w:r>
      <w:r>
        <w:rPr>
          <w:vertAlign w:val="superscript"/>
          <w:lang w:val="nl-NL"/>
        </w:rPr>
        <w:t>1</w:t>
      </w:r>
      <w:r>
        <w:rPr>
          <w:lang w:val="nl-NL"/>
        </w:rPr>
        <w:t xml:space="preserve"> van de Prestant 8' in de drie torens en in de onderste tussenvelden aan beide zijden vijf pijpen die aan de middentoren grenzen. De overige veldpijpen zijn stom. De Holpijp 8' heeft eiken pijpen in het groot octaaf. De Viola di Gamba 8' is van C-H gecombineerd met de Holpijp. Bij de Roerfluit 4' bestaat het hoogste octaaf uit open cilindrisch pijpwerk. De Basson-Trompet heeft metalen stevels met messing band, loden koppen en metalen bekers. Voor C-H zijn cilindrische bekers op onderconus toegepast, vanaf c zijn de bekers trechtervormig.</w:t>
      </w:r>
    </w:p>
    <w:p>
      <w:pPr>
        <w:pStyle w:val="T1"/>
        <w:jc w:val="start"/>
        <w:rPr>
          <w:lang w:val="nl-NL"/>
        </w:rPr>
      </w:pPr>
      <w:r>
        <w:rPr>
          <w:lang w:val="nl-NL"/>
        </w:rPr>
        <w:t>Expressions zijn toegepast bij alle pijpen van de Viola di Gamba 8', en bij de Prestant 8'</w:t>
      </w:r>
    </w:p>
    <w:p>
      <w:pPr>
        <w:pStyle w:val="T1"/>
        <w:jc w:val="start"/>
        <w:rPr/>
      </w:pPr>
      <w:r>
        <w:rPr>
          <w:lang w:val="nl-NL"/>
        </w:rPr>
        <w:t>(gis</w:t>
      </w:r>
      <w:r>
        <w:rPr>
          <w:vertAlign w:val="superscript"/>
          <w:lang w:val="nl-NL"/>
        </w:rPr>
        <w:t>1</w:t>
      </w:r>
      <w:r>
        <w:rPr>
          <w:lang w:val="nl-NL"/>
        </w:rPr>
        <w:t>-c</w:t>
      </w:r>
      <w:r>
        <w:rPr>
          <w:vertAlign w:val="superscript"/>
          <w:lang w:val="nl-NL"/>
        </w:rPr>
        <w:t>3</w:t>
      </w:r>
      <w:r>
        <w:rPr>
          <w:lang w:val="nl-NL"/>
        </w:rPr>
        <w:t>), de Octaaf 4' (C-h</w:t>
      </w:r>
      <w:r>
        <w:rPr>
          <w:vertAlign w:val="superscript"/>
          <w:lang w:val="nl-NL"/>
        </w:rPr>
        <w:t>1</w:t>
      </w:r>
      <w:r>
        <w:rPr>
          <w:lang w:val="nl-NL"/>
        </w:rPr>
        <w:t>), de Quint 3' (C-cis</w:t>
      </w:r>
      <w:r>
        <w:rPr>
          <w:vertAlign w:val="superscript"/>
          <w:lang w:val="nl-NL"/>
        </w:rPr>
        <w:t>1</w:t>
      </w:r>
      <w:r>
        <w:rPr>
          <w:lang w:val="nl-NL"/>
        </w:rPr>
        <w:t>) en de Octaaf 2' (C-a).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2006-04-25T13:25:00Z</dcterms:created>
  <dc:creator>WS1</dc:creator>
  <dc:description/>
  <dc:language>en-US</dc:language>
  <cp:lastModifiedBy>WS1</cp:lastModifiedBy>
  <dcterms:modified xsi:type="dcterms:W3CDTF">2006-04-25T13:25:00Z</dcterms:modified>
  <cp:revision>2</cp:revision>
  <dc:subject/>
  <dc:title>Oldeboorn (Aldeboarn) / 1882</dc:title>
</cp:coreProperties>
</file>