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Sijbekarspel / 1883</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Eenbeukige kerk uit 1547, waarvan het iets oudere koor in 1815 is gesloopt. Westgevel met daktoren ca 1870. Preekstoel uit het midden van de 17e eeuw met de wapens van Sybekarspel en de omringende steden.</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vrij forse variant van het model Raamsdonk, met drie ronde torens en boogvormige tussenvelden met verhoogde frontstokken en horizontale bovenlijsten. Onder de frontstokken zijn hier twee rechthoekige panelen aangebracht, ter weerszijden van een rozet. De decoratie lijkt op die van de andere orgels van dit model, maar heeft toch enige eigen trekjes. Aan de pijpvoeten in de velden de gebruikelijke S-ranken. Boven in de velden de eveneens gebruikelijke gekoppelde bebladerde C-voluten.Onder in de torens zijn het twee S-voluten met een knik die de blinderingen vormen. Bij het midden zijn beide voluten naar boven geopend; zij worden omraamd door bescheiden bladwerk. De bovenblinderingen in de toren vertonen een verwante opbouw, maar zij zijn rijker van bloemen en bladwerk voorzien. De bekroningen van de velden vertonen het gebruikelijke beeld met de slanke naar boven geopend C-voluut met ruitwerk. De vleugelstukken bestaan weer uit een S-rank met knik en krul, waarin hier een druiventros is te zien. Het ruitwerk zien wij hier bij de knik en onder de krul. De consoles onder de torens verdienen nog de aandacht met hun gekoppelde C-voluten. Op de middentoren is een muziekinstrumententrofee aangebracht, terwijl op de zijtorens staande gevleugelde putti op de bazuin blazen.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Cs/>
          <w:lang w:val="nl-NL"/>
        </w:rPr>
        <w:t xml:space="preserve">Fotokaart </w:t>
      </w:r>
      <w:r>
        <w:rPr>
          <w:i/>
          <w:lang w:val="nl-NL"/>
        </w:rPr>
        <w:t>De Mixtuur</w:t>
      </w:r>
      <w:r>
        <w:rPr>
          <w:iCs/>
          <w:lang w:val="nl-NL"/>
        </w:rPr>
        <w:t>.</w:t>
      </w:r>
    </w:p>
    <w:p>
      <w:pPr>
        <w:pStyle w:val="T3Lit"/>
        <w:jc w:val="start"/>
        <w:rPr>
          <w:iCs/>
          <w:lang w:val="nl-NL"/>
        </w:rPr>
      </w:pPr>
      <w:r>
        <w:rPr>
          <w:i/>
          <w:lang w:val="nl-NL"/>
        </w:rPr>
        <w:t>Kerkelijke Courant</w:t>
      </w:r>
      <w:r>
        <w:rPr>
          <w:iCs/>
          <w:lang w:val="nl-NL"/>
        </w:rPr>
        <w:t xml:space="preserve">, </w:t>
      </w:r>
      <w:r>
        <w:rPr>
          <w:lang w:val="nl-NL"/>
        </w:rPr>
        <w:t>27 October 1883, nr. 43 p.(1).</w:t>
      </w:r>
    </w:p>
    <w:p>
      <w:pPr>
        <w:pStyle w:val="T3Lit"/>
        <w:jc w:val="start"/>
        <w:rPr/>
      </w:pPr>
      <w:r>
        <w:rPr>
          <w:i/>
          <w:lang w:val="nl-NL"/>
        </w:rPr>
        <w:t>De Orgelkrant</w:t>
      </w:r>
      <w:r>
        <w:rPr>
          <w:lang w:val="nl-NL"/>
        </w:rPr>
        <w:t>, 3/3 (1998), 8.</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pPr>
      <w:r>
        <w:rPr>
          <w:lang w:val="nl-NL"/>
        </w:rPr>
        <w:t xml:space="preserve">Jan Jongepier, </w:t>
      </w:r>
      <w:r>
        <w:rPr>
          <w:i/>
          <w:iCs/>
          <w:lang w:val="nl-NL"/>
        </w:rPr>
        <w:t>Rapport over het orgel in de Hervormde Kerk te Sijbekarspel</w:t>
      </w:r>
      <w:r>
        <w:rPr>
          <w:lang w:val="nl-NL"/>
        </w:rPr>
        <w:t>. Z.p., 1982.</w:t>
      </w:r>
    </w:p>
    <w:p>
      <w:pPr>
        <w:pStyle w:val="T3Lit"/>
        <w:jc w:val="start"/>
        <w:rPr>
          <w:lang w:val="nl-NL"/>
        </w:rPr>
      </w:pPr>
      <w:r>
        <w:rPr>
          <w:lang w:val="nl-NL"/>
        </w:rPr>
      </w:r>
    </w:p>
    <w:p>
      <w:pPr>
        <w:pStyle w:val="T3Lit"/>
        <w:jc w:val="start"/>
        <w:rPr>
          <w:lang w:val="nl-NL"/>
        </w:rPr>
      </w:pPr>
      <w:r>
        <w:rPr>
          <w:lang w:val="nl-NL"/>
        </w:rPr>
        <w:t>Monumentnummer 30676</w:t>
      </w:r>
    </w:p>
    <w:p>
      <w:pPr>
        <w:pStyle w:val="T3Lit"/>
        <w:jc w:val="start"/>
        <w:rPr>
          <w:lang w:val="nl-NL"/>
        </w:rPr>
      </w:pPr>
      <w:r>
        <w:rPr>
          <w:lang w:val="nl-NL"/>
        </w:rPr>
        <w:t>Orgelnummer 1357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jc w:val="start"/>
        <w:rPr>
          <w:lang w:val="nl-NL"/>
        </w:rPr>
      </w:pPr>
      <w:r>
        <w:rPr>
          <w:lang w:val="nl-NL"/>
        </w:rPr>
      </w:r>
    </w:p>
    <w:p>
      <w:pPr>
        <w:pStyle w:val="T1"/>
        <w:jc w:val="start"/>
        <w:rPr>
          <w:lang w:val="nl-NL"/>
        </w:rPr>
      </w:pPr>
      <w:r>
        <w:rPr>
          <w:lang w:val="nl-NL"/>
        </w:rPr>
        <w:t>1923</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Flentrop Orgelbouw 1998</w:t>
      </w:r>
    </w:p>
    <w:p>
      <w:pPr>
        <w:pStyle w:val="T1"/>
        <w:jc w:val="start"/>
        <w:rPr>
          <w:lang w:val="nl-NL"/>
        </w:rPr>
      </w:pPr>
      <w:r>
        <w:rPr>
          <w:lang w:val="nl-NL"/>
        </w:rPr>
        <w:t>.</w:t>
        <w:tab/>
        <w:t>frontpijpen schoongemaakt, labia opnieuw verguld</w:t>
      </w:r>
    </w:p>
    <w:p>
      <w:pPr>
        <w:pStyle w:val="T1"/>
        <w:jc w:val="start"/>
        <w:rPr>
          <w:lang w:val="nl-NL"/>
        </w:rPr>
      </w:pPr>
      <w:r>
        <w:rPr>
          <w:lang w:val="nl-NL"/>
        </w:rPr>
        <w:t>.</w:t>
        <w:tab/>
        <w:t>windladen gerestaureerd</w:t>
      </w:r>
    </w:p>
    <w:p>
      <w:pPr>
        <w:pStyle w:val="T1"/>
        <w:jc w:val="start"/>
        <w:rPr>
          <w:lang w:val="nl-NL"/>
        </w:rPr>
      </w:pPr>
      <w:r>
        <w:rPr>
          <w:lang w:val="nl-NL"/>
        </w:rPr>
        <w:t>.</w:t>
        <w:tab/>
        <w:t>houten pijpen, mechanieken en pedaalklavier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aangehangen pedaal</w:t>
      </w:r>
    </w:p>
    <w:p>
      <w:pPr>
        <w:pStyle w:val="T1"/>
        <w:jc w:val="start"/>
        <w:rPr>
          <w:lang w:val="nl-NL"/>
        </w:rPr>
      </w:pPr>
      <w:r>
        <w:rPr>
          <w:lang w:val="nl-NL"/>
        </w:rPr>
      </w:r>
    </w:p>
    <w:p>
      <w:pPr>
        <w:pStyle w:val="T1"/>
        <w:jc w:val="start"/>
        <w:rPr/>
      </w:pPr>
      <w:r>
        <w:rPr/>
        <w:t>Dispositie</w:t>
      </w:r>
    </w:p>
    <w:tbl>
      <w:tblPr>
        <w:tblW w:w="4397" w:type="dxa"/>
        <w:jc w:val="start"/>
        <w:tblInd w:w="-70" w:type="dxa"/>
        <w:tblLayout w:type="fixed"/>
        <w:tblCellMar>
          <w:top w:w="0" w:type="dxa"/>
          <w:start w:w="70" w:type="dxa"/>
          <w:bottom w:w="0" w:type="dxa"/>
          <w:end w:w="70" w:type="dxa"/>
        </w:tblCellMar>
      </w:tblPr>
      <w:tblGrid>
        <w:gridCol w:w="1600"/>
        <w:gridCol w:w="631"/>
        <w:gridCol w:w="1791"/>
        <w:gridCol w:w="375"/>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c>
          <w:tcPr>
            <w:tcW w:w="1791" w:type="dxa"/>
            <w:tcBorders/>
          </w:tcPr>
          <w:p>
            <w:pPr>
              <w:pStyle w:val="T4dispositie"/>
              <w:jc w:val="start"/>
              <w:rPr>
                <w:i/>
                <w:i/>
                <w:iCs/>
                <w:lang w:val="nl-NL"/>
              </w:rPr>
            </w:pPr>
            <w:r>
              <w:rPr>
                <w:i/>
                <w:iCs/>
                <w:lang w:val="nl-NL"/>
              </w:rPr>
              <w:t>Dwarswerk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Fluit Dolce</w:t>
            </w:r>
          </w:p>
          <w:p>
            <w:pPr>
              <w:pStyle w:val="T4dispositie"/>
              <w:jc w:val="start"/>
              <w:rPr>
                <w:lang w:val="nl-NL"/>
              </w:rPr>
            </w:pPr>
            <w:r>
              <w:rPr>
                <w:lang w:val="nl-NL"/>
              </w:rPr>
              <w:t>Salicionaal</w:t>
            </w:r>
          </w:p>
          <w:p>
            <w:pPr>
              <w:pStyle w:val="T4dispositie"/>
              <w:jc w:val="start"/>
              <w:rPr>
                <w:lang w:val="nl-NL"/>
              </w:rPr>
            </w:pPr>
            <w:r>
              <w:rPr>
                <w:lang w:val="nl-NL"/>
              </w:rPr>
              <w:t>Viool de Gambe</w:t>
            </w:r>
          </w:p>
          <w:p>
            <w:pPr>
              <w:pStyle w:val="T4dispositie"/>
              <w:jc w:val="start"/>
              <w:rPr>
                <w:lang w:val="nl-NL"/>
              </w:rPr>
            </w:pPr>
            <w:r>
              <w:rPr>
                <w:lang w:val="nl-NL"/>
              </w:rPr>
              <w:t>Fluit d’Amour</w:t>
            </w:r>
          </w:p>
          <w:p>
            <w:pPr>
              <w:pStyle w:val="T4dispositie"/>
              <w:jc w:val="start"/>
              <w:rPr>
                <w:lang w:val="nl-NL"/>
              </w:rPr>
            </w:pPr>
            <w:r>
              <w:rPr>
                <w:lang w:val="nl-NL"/>
              </w:rPr>
              <w:t>Gemshoorn</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klavierkoppel</w:t>
      </w:r>
    </w:p>
    <w:p>
      <w:pPr>
        <w:pStyle w:val="T1"/>
        <w:jc w:val="start"/>
        <w:rPr>
          <w:lang w:val="nl-NL"/>
        </w:rPr>
      </w:pPr>
      <w:r>
        <w:rPr>
          <w:lang w:val="nl-NL"/>
        </w:rPr>
        <w:t>afsluiting onderklavier, afsluiting bovenklavier</w:t>
      </w:r>
    </w:p>
    <w:p>
      <w:pPr>
        <w:pStyle w:val="T1"/>
        <w:jc w:val="start"/>
        <w:rPr>
          <w:lang w:val="nl-NL"/>
        </w:rPr>
      </w:pPr>
      <w:r>
        <w:rPr>
          <w:lang w:val="nl-NL"/>
        </w:rPr>
        <w:t>tremulant</w:t>
      </w:r>
    </w:p>
    <w:p>
      <w:pPr>
        <w:pStyle w:val="T1"/>
        <w:jc w:val="start"/>
        <w:rPr>
          <w:lang w:val="nl-NL"/>
        </w:rPr>
      </w:pPr>
      <w:r>
        <w:rPr>
          <w:lang w:val="nl-NL"/>
        </w:rPr>
        <w:t>windloser</w:t>
      </w:r>
    </w:p>
    <w:p>
      <w:pPr>
        <w:pStyle w:val="T1"/>
        <w:jc w:val="start"/>
        <w:rPr>
          <w:lang w:val="nl-NL"/>
        </w:rPr>
      </w:pPr>
      <w:r>
        <w:rPr>
          <w:lang w:val="nl-NL"/>
        </w:rPr>
        <w:t>loze knop Muëtte 8 vt</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(1883)</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In het front spreken de pijpen C-A en c-b van de Prestant 8' en G-f van de Salicionaal 8'; de pijpen in de linker zijtoren zijn stom.</w:t>
      </w:r>
    </w:p>
    <w:p>
      <w:pPr>
        <w:pStyle w:val="T1"/>
        <w:jc w:val="start"/>
        <w:rPr>
          <w:lang w:val="nl-NL"/>
        </w:rPr>
      </w:pPr>
      <w:r>
        <w:rPr>
          <w:lang w:val="nl-NL"/>
        </w:rPr>
        <w:t>De windkanalen zijn van eiken, de tremulant is inliggend.</w:t>
      </w:r>
    </w:p>
    <w:p>
      <w:pPr>
        <w:pStyle w:val="T1"/>
        <w:jc w:val="start"/>
        <w:rPr/>
      </w:pPr>
      <w:r>
        <w:rPr>
          <w:lang w:val="nl-NL"/>
        </w:rPr>
        <w:t>De windladen zijn geheel van eiken, inclusief stokken en roosters. De cancelvolgorde van de HW-lade is chromatisch: C-d g</w:t>
      </w:r>
      <w:r>
        <w:rPr>
          <w:vertAlign w:val="superscript"/>
          <w:lang w:val="nl-NL"/>
        </w:rPr>
        <w:t>3</w:t>
      </w:r>
      <w:r>
        <w:rPr>
          <w:lang w:val="nl-NL"/>
        </w:rPr>
        <w:t>-dis. De cancelvolgorde van de DW-lade is eveneens chromatisch: A-g</w:t>
      </w:r>
      <w:r>
        <w:rPr>
          <w:vertAlign w:val="superscript"/>
          <w:lang w:val="nl-NL"/>
        </w:rPr>
        <w:t>3</w:t>
      </w:r>
      <w:r>
        <w:rPr>
          <w:lang w:val="nl-NL"/>
        </w:rPr>
        <w:t xml:space="preserve"> Gis-C.</w:t>
      </w:r>
    </w:p>
    <w:p>
      <w:pPr>
        <w:pStyle w:val="T1"/>
        <w:jc w:val="start"/>
        <w:rPr>
          <w:lang w:val="nl-NL"/>
        </w:rPr>
      </w:pPr>
      <w:r>
        <w:rPr>
          <w:lang w:val="nl-NL"/>
        </w:rPr>
        <w:t>Eiken pijpen worden aangetroffen in de Bourdon 16' (C-g, grootste pijpen afgevoerd tegen de zijwand), Holpijp 8' (C-G) en Fluit Dolce 8' (C-G, afgevoerd op een vervoerstok achter de lade). De Roerfluit 4' is in het hoogste octaaf open, licht conisch.</w:t>
      </w:r>
    </w:p>
    <w:p>
      <w:pPr>
        <w:pStyle w:val="T1"/>
        <w:jc w:val="start"/>
        <w:rPr>
          <w:lang w:val="nl-NL"/>
        </w:rPr>
      </w:pPr>
      <w:r>
        <w:rPr>
          <w:lang w:val="nl-NL"/>
        </w:rPr>
        <w:t>De Salicionaal 8' begint op G. De Viool de Gambe 8' is in het groot octaaf gecombineerd met de Fluit Dolce 8', vanaf c bestaat het register uit pijpen met een hoog tingehalte. De Fluit d’Amour 4' is gedekt, het hoogste octaaf echter open, cilindrisch. De Gemshoorn 2' is conisch, van enge mensuur.</w:t>
      </w:r>
    </w:p>
    <w:p>
      <w:pPr>
        <w:pStyle w:val="T1"/>
        <w:jc w:val="start"/>
        <w:rPr>
          <w:lang w:val="nl-NL"/>
        </w:rPr>
      </w:pPr>
      <w:r>
        <w:rPr>
          <w:lang w:val="nl-NL"/>
        </w:rPr>
        <w:t>De Trompet 8' is voorzien van stevels en koppen van mahonie, bij C-f zijn kop en keel uit één stuk mahonie gemaakt, vanaf fis zijn er messing kelen.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2006-04-25T13:40:00Z</dcterms:created>
  <dc:creator>WS1</dc:creator>
  <dc:description/>
  <dc:language>en-US</dc:language>
  <cp:lastModifiedBy>WS1</cp:lastModifiedBy>
  <dcterms:modified xsi:type="dcterms:W3CDTF">2006-04-25T13:40:00Z</dcterms:modified>
  <cp:revision>2</cp:revision>
  <dc:subject/>
  <dc:title>Sijbekarspel / 1883</dc:title>
</cp:coreProperties>
</file>