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Sweykhuizen / 1883</w:t>
      </w:r>
    </w:p>
    <w:p>
      <w:pPr>
        <w:pStyle w:val="Heading2"/>
        <w:rPr>
          <w:i w:val="false"/>
          <w:i w:val="false"/>
          <w:iCs/>
        </w:rPr>
      </w:pPr>
      <w:r>
        <w:rPr>
          <w:i w:val="false"/>
          <w:iCs/>
        </w:rPr>
        <w:t>R.K. Kerk H.H. Dionysius en Odilia</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kruiskerk met daktoren, gebouwd in 1739, in 1953-1954 vergroot. Inwendig kruisribgewelven in hout en stuc. Laatgotische preekstoelkuip en twee barokke altaren.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opmerkelijk neoromaans front. Karakteristiek element is de rondbogige vorm van de middenpartij. Het prototype van deze vormgeving is te vinden in het orgel dat de firma Pereboom &amp; Leijser in 1867 bouwde in het Belgische Deigné. Dit moet als een rondboogversie worden opgevat van de neogotische fronten van Herstappe en Manaihant (beide 1866). Het voornaamste verschil tussen Deigné en Sweykhuizen is dat het middenveld bij laatstgenoemd orgel tweedelig is geworden: het omvat twee rondbogen die door een stijl met daartegen aangebrachte pilaster wordt gedeeld. In het boogveld daarboven ziet men een vierpas en twee sferische driehoeken. De beide lagere zijdelen zijn eveneens voorzien van pilasters en bevatten elk een rondbogig pijpveld, waarbij de aanzet van de boog door een console wordt gemarkeerd. Boven deze velden is een rondboogfries aangebracht. Het geheel wordt bekroond door een uit krakelingachtige elementen samengestelde guirlande. Op de hoeken een soort Franse lelies. Voorzover bekend hebben de orgelmakers Pereboom en Leijser dit model met gedeeld middenveld nog maar één keer toegepast: in 1885 in het Belgische Loncin.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161, 238.</w:t>
      </w:r>
    </w:p>
    <w:p>
      <w:pPr>
        <w:pStyle w:val="T3Lit"/>
        <w:jc w:val="start"/>
        <w:rPr/>
      </w:pPr>
      <w:r>
        <w:rPr>
          <w:i/>
          <w:lang w:val="nl-NL"/>
        </w:rPr>
        <w:t>Het Orgel</w:t>
      </w:r>
      <w:r>
        <w:rPr>
          <w:lang w:val="nl-NL"/>
        </w:rPr>
        <w:t>, 89/5 (1993), 156.</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33369</w:t>
      </w:r>
    </w:p>
    <w:p>
      <w:pPr>
        <w:pStyle w:val="T3Lit"/>
        <w:jc w:val="start"/>
        <w:rPr>
          <w:lang w:val="nl-NL"/>
        </w:rPr>
      </w:pPr>
      <w:r>
        <w:rPr>
          <w:lang w:val="nl-NL"/>
        </w:rPr>
        <w:t>Orgelnummer 1435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P. Pereboom, onbekend moment</w:t>
      </w:r>
    </w:p>
    <w:p>
      <w:pPr>
        <w:pStyle w:val="T1"/>
        <w:jc w:val="start"/>
        <w:rPr>
          <w:lang w:val="nl-NL"/>
        </w:rPr>
      </w:pPr>
      <w:r>
        <w:rPr>
          <w:lang w:val="nl-NL"/>
        </w:rPr>
        <w:t>.</w:t>
        <w:tab/>
        <w:t>nieuwe pijproosters aangebracht</w:t>
      </w:r>
    </w:p>
    <w:p>
      <w:pPr>
        <w:pStyle w:val="T1"/>
        <w:jc w:val="start"/>
        <w:rPr>
          <w:lang w:val="nl-NL"/>
        </w:rPr>
      </w:pPr>
      <w:r>
        <w:rPr>
          <w:lang w:val="nl-NL"/>
        </w:rPr>
        <w:t>.</w:t>
        <w:tab/>
        <w:t>toetsbeleg ondertoetsen handklavier vervangen door celluloid</w:t>
      </w:r>
    </w:p>
    <w:p>
      <w:pPr>
        <w:pStyle w:val="T1"/>
        <w:jc w:val="start"/>
        <w:rPr>
          <w:lang w:val="nl-NL"/>
        </w:rPr>
      </w:pPr>
      <w:r>
        <w:rPr>
          <w:lang w:val="nl-NL"/>
        </w:rPr>
      </w:r>
    </w:p>
    <w:p>
      <w:pPr>
        <w:pStyle w:val="T1"/>
        <w:jc w:val="start"/>
        <w:rPr>
          <w:lang w:val="nl-NL"/>
        </w:rPr>
      </w:pPr>
      <w:r>
        <w:rPr>
          <w:lang w:val="nl-NL"/>
        </w:rPr>
        <w:t>Gebr. Vermeulen 1981</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Gebr. Vermeulen 1993</w:t>
      </w:r>
    </w:p>
    <w:p>
      <w:pPr>
        <w:pStyle w:val="T1"/>
        <w:jc w:val="start"/>
        <w:rPr>
          <w:lang w:val="nl-NL"/>
        </w:rPr>
      </w:pPr>
      <w:r>
        <w:rPr>
          <w:lang w:val="nl-NL"/>
        </w:rPr>
        <w:t>.</w:t>
        <w:tab/>
        <w:t>restauratie</w:t>
      </w:r>
    </w:p>
    <w:p>
      <w:pPr>
        <w:pStyle w:val="T1"/>
        <w:jc w:val="start"/>
        <w:rPr>
          <w:lang w:val="nl-NL"/>
        </w:rPr>
      </w:pPr>
      <w:r>
        <w:rPr>
          <w:lang w:val="nl-NL"/>
        </w:rPr>
        <w:t>.</w:t>
        <w:tab/>
        <w:t>orgelkas schoongemaakt en hersteld</w:t>
      </w:r>
    </w:p>
    <w:p>
      <w:pPr>
        <w:pStyle w:val="T1"/>
        <w:jc w:val="start"/>
        <w:rPr>
          <w:lang w:val="nl-NL"/>
        </w:rPr>
      </w:pPr>
      <w:r>
        <w:rPr>
          <w:lang w:val="nl-NL"/>
        </w:rPr>
        <w:t>.</w:t>
        <w:tab/>
        <w:t>balg opnieuw beleerd</w:t>
      </w:r>
    </w:p>
    <w:p>
      <w:pPr>
        <w:pStyle w:val="T1"/>
        <w:jc w:val="start"/>
        <w:rPr>
          <w:lang w:val="nl-NL"/>
        </w:rPr>
      </w:pPr>
      <w:r>
        <w:rPr>
          <w:lang w:val="nl-NL"/>
        </w:rPr>
        <w:t>.</w:t>
        <w:tab/>
        <w:t>mechanieken hersteld en waar nodig vervangen; nieuw beleg ondertoetsen handklavieren</w:t>
      </w:r>
    </w:p>
    <w:p>
      <w:pPr>
        <w:pStyle w:val="T1"/>
        <w:jc w:val="start"/>
        <w:rPr>
          <w:lang w:val="nl-NL"/>
        </w:rPr>
      </w:pPr>
      <w:r>
        <w:rPr>
          <w:lang w:val="nl-NL"/>
        </w:rPr>
        <w:t>.</w:t>
        <w:tab/>
        <w:t>windlade gerestaureerd en van nieuwe pulpeten voorzien</w:t>
      </w:r>
    </w:p>
    <w:p>
      <w:pPr>
        <w:pStyle w:val="T1"/>
        <w:jc w:val="start"/>
        <w:rPr>
          <w:lang w:val="nl-NL"/>
        </w:rPr>
      </w:pPr>
      <w:r>
        <w:rPr>
          <w:lang w:val="nl-NL"/>
        </w:rPr>
        <w:t>.</w:t>
        <w:tab/>
        <w:t>pijpwerk hersteld</w:t>
      </w:r>
    </w:p>
    <w:p>
      <w:pPr>
        <w:pStyle w:val="T1"/>
        <w:jc w:val="start"/>
        <w:rPr>
          <w:lang w:val="nl-NL"/>
        </w:rPr>
      </w:pPr>
      <w:r>
        <w:rPr>
          <w:lang w:val="nl-NL"/>
        </w:rPr>
      </w:r>
    </w:p>
    <w:p>
      <w:pPr>
        <w:pStyle w:val="T1"/>
        <w:jc w:val="start"/>
        <w:rPr>
          <w:lang w:val="nl-NL"/>
        </w:rPr>
      </w:pPr>
      <w:r>
        <w:rPr>
          <w:lang w:val="nl-NL"/>
        </w:rPr>
        <w:t>Flentrop Orgelbouw 2001</w:t>
      </w:r>
    </w:p>
    <w:p>
      <w:pPr>
        <w:pStyle w:val="T1"/>
        <w:jc w:val="start"/>
        <w:rPr>
          <w:lang w:val="nl-NL"/>
        </w:rPr>
      </w:pPr>
      <w:r>
        <w:rPr>
          <w:lang w:val="nl-NL"/>
        </w:rPr>
        <w:t>.</w:t>
        <w:tab/>
        <w:t>in 2000 beschadigde frontpijpen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aangehangen pedaal</w:t>
      </w:r>
    </w:p>
    <w:p>
      <w:pPr>
        <w:pStyle w:val="T1"/>
        <w:jc w:val="start"/>
        <w:rPr>
          <w:lang w:val="nl-NL"/>
        </w:rPr>
      </w:pPr>
      <w:r>
        <w:rPr>
          <w:lang w:val="nl-NL"/>
        </w:rPr>
      </w:r>
    </w:p>
    <w:p>
      <w:pPr>
        <w:pStyle w:val="T1"/>
        <w:jc w:val="start"/>
        <w:rPr/>
      </w:pPr>
      <w:r>
        <w:rPr/>
        <w:t>Dispositie</w:t>
      </w:r>
    </w:p>
    <w:tbl>
      <w:tblPr>
        <w:tblW w:w="2656" w:type="dxa"/>
        <w:jc w:val="start"/>
        <w:tblInd w:w="-70" w:type="dxa"/>
        <w:tblLayout w:type="fixed"/>
        <w:tblCellMar>
          <w:top w:w="0" w:type="dxa"/>
          <w:start w:w="70" w:type="dxa"/>
          <w:bottom w:w="0" w:type="dxa"/>
          <w:end w:w="70" w:type="dxa"/>
        </w:tblCellMar>
      </w:tblPr>
      <w:tblGrid>
        <w:gridCol w:w="2281"/>
        <w:gridCol w:w="375"/>
      </w:tblGrid>
      <w:tr>
        <w:trPr/>
        <w:tc>
          <w:tcPr>
            <w:tcW w:w="2281" w:type="dxa"/>
            <w:tcBorders/>
          </w:tcPr>
          <w:p>
            <w:pPr>
              <w:pStyle w:val="T4dispositie"/>
              <w:jc w:val="start"/>
              <w:rPr>
                <w:i/>
                <w:i/>
                <w:iCs/>
                <w:lang w:val="nl-NL"/>
              </w:rPr>
            </w:pPr>
            <w:r>
              <w:rPr>
                <w:i/>
                <w:iCs/>
                <w:lang w:val="nl-NL"/>
              </w:rPr>
              <w:t>Grand Orgue</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Salicional</w:t>
            </w:r>
          </w:p>
          <w:p>
            <w:pPr>
              <w:pStyle w:val="T4dispositie"/>
              <w:jc w:val="start"/>
              <w:rPr>
                <w:lang w:val="nl-NL"/>
              </w:rPr>
            </w:pPr>
            <w:r>
              <w:rPr>
                <w:lang w:val="nl-NL"/>
              </w:rPr>
              <w:t>Prestant</w:t>
            </w:r>
          </w:p>
          <w:p>
            <w:pPr>
              <w:pStyle w:val="T4dispositie"/>
              <w:jc w:val="start"/>
              <w:rPr>
                <w:lang w:val="nl-NL"/>
              </w:rPr>
            </w:pPr>
            <w:r>
              <w:rPr>
                <w:lang w:val="nl-NL"/>
              </w:rPr>
              <w:t>Flûte</w:t>
            </w:r>
          </w:p>
          <w:p>
            <w:pPr>
              <w:pStyle w:val="T4dispositie"/>
              <w:jc w:val="start"/>
              <w:rPr>
                <w:lang w:val="nl-NL"/>
              </w:rPr>
            </w:pPr>
            <w:r>
              <w:rPr>
                <w:lang w:val="nl-NL"/>
              </w:rPr>
              <w:t>Basson Hautbois B/D</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(1883)</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zijn in een horizontale rij boven de lessenaarbak aangebracht.</w:t>
      </w:r>
    </w:p>
    <w:p>
      <w:pPr>
        <w:pStyle w:val="T1"/>
        <w:jc w:val="start"/>
        <w:rPr/>
      </w:pPr>
      <w:r>
        <w:rPr>
          <w:lang w:val="nl-NL"/>
        </w:rPr>
        <w:t>C-Fis van de Montre 8' zijn open houten binnenpijpen, G-d</w:t>
      </w:r>
      <w:r>
        <w:rPr>
          <w:vertAlign w:val="superscript"/>
          <w:lang w:val="nl-NL"/>
        </w:rPr>
        <w:t>1</w:t>
      </w:r>
      <w:r>
        <w:rPr>
          <w:lang w:val="nl-NL"/>
        </w:rPr>
        <w:t xml:space="preserve"> staan in het front, het vervolg staat op de lade, C en Cis zijn gekropt. C-e van de Bourdon 8' zijn van hout, het vervolg is van metaal, het gehele register is gedekt. De Salicional 8' is van C-Fis gecombineerd met de Bourdon. G-cis</w:t>
      </w:r>
      <w:r>
        <w:rPr>
          <w:vertAlign w:val="superscript"/>
          <w:lang w:val="nl-NL"/>
        </w:rPr>
        <w:t>3</w:t>
      </w:r>
      <w:r>
        <w:rPr>
          <w:lang w:val="nl-NL"/>
        </w:rPr>
        <w:t xml:space="preserve"> van de Salicional zijn voorzien van freins en expressions, het vervolg is op lengte afgesneden. Het pijpwerk van de Flûte 4' is ouder dan 1883 en blijkens een inscriptie op C gemaakt door de orgelmaker Graindorgue: </w:t>
      </w:r>
      <w:r>
        <w:rPr>
          <w:smallCaps/>
          <w:lang w:val="nl-NL"/>
        </w:rPr>
        <w:t xml:space="preserve">flute de a graindorgue facteurs d orgues a liege. </w:t>
      </w:r>
      <w:r>
        <w:rPr>
          <w:lang w:val="nl-NL"/>
        </w:rPr>
        <w:t>Dit pijpwerk is voorzien van ingeslagen letters en nummers. Het pijpwerk is in hele tonen vanuit het midden naar weerszijden aflopend opgesteld. De volgorde op de lade is: Montre 8', Prestant 4', Bourdon 8', Salicional 8', Flûte 4', Basson Hautbois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2006-04-25T13:43:00Z</dcterms:created>
  <dc:creator>WS1</dc:creator>
  <dc:description/>
  <dc:language>en-US</dc:language>
  <cp:lastModifiedBy>WS1</cp:lastModifiedBy>
  <dcterms:modified xsi:type="dcterms:W3CDTF">2006-04-25T13:43:00Z</dcterms:modified>
  <cp:revision>2</cp:revision>
  <dc:subject/>
  <dc:title>Sweykhuizen / 1883</dc:title>
</cp:coreProperties>
</file>