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Rhenoy / 1884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Eenbeukige driezijdig gesloten kerk uit 1836, met een voorgevel die nog dateert uit de 15e eeuw. Preekstoel uit de 17e eeuw.</w:t>
      </w:r>
    </w:p>
    <w:p>
      <w:pPr>
        <w:pStyle w:val="T1"/>
        <w:jc w:val="start"/>
        <w:rPr>
          <w:lang w:val="nl-NL"/>
        </w:rPr>
      </w:pPr>
      <w:r>
        <w:rPr>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orgelkas met een opvallend breed front, eigenlijk iets te groot voor deze kerk. Drie ronde torens, de middentoren met zeven pijpen en de zijtorens met zelfs negen, en gedeelde tussenvelden. De benedenetage is rondbogig en de bovenetage valt op door haar gedrongen proporties. Een en ander doet onmiskenbaar denken aan de vroege fronten van het huis Adema, maar een relatie is niet aantoonbaar. De stijlen van de middentoren zijn getransformeerd tot pilasters met een soort kapiteel; bij de zijtorens is dat minder uitgesproken. Blinderingen aan de pijpvoeten ontbreken. In de middentoren aan de pijpuiteinden een gesloten blindering. Bij de zijtorens zijn het eenvoudige voluutranken die ook boven de tussenvelden zijn aangebracht. In de torenkappen ondiepe vierpassen, een gotisch motief, dat hierin enigszins verdwaalt oogt. De vleugelstukken bestaan uit eenvoudige S-ranken.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De Mixtuur</w:t>
      </w:r>
      <w:r>
        <w:rPr>
          <w:lang w:val="nl-NL"/>
        </w:rPr>
        <w:t>, 74 (1993), 747-749.</w:t>
      </w:r>
    </w:p>
    <w:p>
      <w:pPr>
        <w:pStyle w:val="T3Lit"/>
        <w:rPr>
          <w:lang w:val="nl-NL"/>
        </w:rPr>
      </w:pPr>
      <w:r>
        <w:rPr>
          <w:lang w:val="nl-NL"/>
        </w:rPr>
      </w:r>
    </w:p>
    <w:p>
      <w:pPr>
        <w:pStyle w:val="T3Lit"/>
        <w:rPr>
          <w:b/>
          <w:b/>
          <w:bCs/>
          <w:lang w:val="nl-NL"/>
        </w:rPr>
      </w:pPr>
      <w:r>
        <w:rPr>
          <w:b/>
          <w:bCs/>
          <w:lang w:val="nl-NL"/>
        </w:rPr>
        <w:t>Niet gepubliceerde bron</w:t>
      </w:r>
    </w:p>
    <w:p>
      <w:pPr>
        <w:pStyle w:val="T3Lit"/>
        <w:rPr/>
      </w:pPr>
      <w:r>
        <w:rPr>
          <w:lang w:val="nl-NL"/>
        </w:rPr>
        <w:t xml:space="preserve">Jan Jongepier, </w:t>
      </w:r>
      <w:r>
        <w:rPr>
          <w:i/>
          <w:lang w:val="nl-NL"/>
        </w:rPr>
        <w:t>Rapport over het orgel in de Grote of Sint-Gertrudiskerk te Bergen op Zoom</w:t>
      </w:r>
      <w:r>
        <w:rPr>
          <w:lang w:val="nl-NL"/>
        </w:rPr>
        <w:t>. Leeuwarden, 2001, 96-100.</w:t>
      </w:r>
    </w:p>
    <w:p>
      <w:pPr>
        <w:pStyle w:val="T3Lit"/>
        <w:rPr>
          <w:lang w:val="nl-NL"/>
        </w:rPr>
      </w:pPr>
      <w:r>
        <w:rPr>
          <w:lang w:val="nl-NL"/>
        </w:rPr>
      </w:r>
    </w:p>
    <w:p>
      <w:pPr>
        <w:pStyle w:val="T3Lit"/>
        <w:rPr>
          <w:lang w:val="nl-NL"/>
        </w:rPr>
      </w:pPr>
      <w:r>
        <w:rPr>
          <w:lang w:val="nl-NL"/>
        </w:rPr>
        <w:t>Monumentnummer 16511</w:t>
      </w:r>
    </w:p>
    <w:p>
      <w:pPr>
        <w:pStyle w:val="T3Lit"/>
        <w:rPr>
          <w:lang w:val="nl-NL"/>
        </w:rPr>
      </w:pPr>
      <w:r>
        <w:rPr>
          <w:lang w:val="nl-NL"/>
        </w:rPr>
        <w:t>Orgelnummer 1260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R. Ibach</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1884</w:t>
      </w:r>
    </w:p>
    <w:p>
      <w:pPr>
        <w:pStyle w:val="T1"/>
        <w:jc w:val="start"/>
        <w:rPr>
          <w:lang w:val="nl-NL"/>
        </w:rPr>
      </w:pPr>
      <w:r>
        <w:rPr>
          <w:lang w:val="nl-NL"/>
        </w:rPr>
      </w:r>
    </w:p>
    <w:p>
      <w:pPr>
        <w:pStyle w:val="T1"/>
        <w:jc w:val="start"/>
        <w:rPr>
          <w:lang w:val="nl-NL"/>
        </w:rPr>
      </w:pPr>
      <w:r>
        <w:rPr>
          <w:lang w:val="nl-NL"/>
        </w:rPr>
        <w:t>J. de Koff &amp; Zn 1950</w:t>
      </w:r>
    </w:p>
    <w:p>
      <w:pPr>
        <w:pStyle w:val="T1"/>
        <w:jc w:val="start"/>
        <w:rPr>
          <w:lang w:val="nl-NL"/>
        </w:rPr>
      </w:pPr>
      <w:r>
        <w:rPr>
          <w:lang w:val="nl-NL"/>
        </w:rPr>
        <w:t>.</w:t>
        <w:tab/>
        <w:t>schoonmaak en herstel</w:t>
      </w:r>
    </w:p>
    <w:p>
      <w:pPr>
        <w:pStyle w:val="T1"/>
        <w:jc w:val="start"/>
        <w:rPr>
          <w:lang w:val="nl-NL"/>
        </w:rPr>
      </w:pPr>
      <w:r>
        <w:rPr>
          <w:lang w:val="nl-NL"/>
        </w:rPr>
        <w:t>.</w:t>
        <w:tab/>
        <w:t>tertskoor Sesquialter 2 st. verplaatst naar vrije sleep Trompet 8'</w:t>
      </w:r>
    </w:p>
    <w:p>
      <w:pPr>
        <w:pStyle w:val="T1"/>
        <w:jc w:val="start"/>
        <w:rPr>
          <w:lang w:val="nl-NL"/>
        </w:rPr>
      </w:pPr>
      <w:r>
        <w:rPr>
          <w:lang w:val="nl-NL"/>
        </w:rPr>
      </w:r>
    </w:p>
    <w:p>
      <w:pPr>
        <w:pStyle w:val="T1"/>
        <w:jc w:val="start"/>
        <w:rPr>
          <w:lang w:val="nl-NL"/>
        </w:rPr>
      </w:pPr>
      <w:r>
        <w:rPr>
          <w:lang w:val="nl-NL"/>
        </w:rPr>
        <w:t>S.F. Blank 1990</w:t>
      </w:r>
    </w:p>
    <w:p>
      <w:pPr>
        <w:pStyle w:val="T1"/>
        <w:jc w:val="start"/>
        <w:rPr>
          <w:lang w:val="nl-NL"/>
        </w:rPr>
      </w:pPr>
      <w:r>
        <w:rPr>
          <w:lang w:val="nl-NL"/>
        </w:rPr>
        <w:t>.</w:t>
        <w:tab/>
        <w:t>frontpijpen hersteld</w:t>
      </w:r>
    </w:p>
    <w:p>
      <w:pPr>
        <w:pStyle w:val="T1"/>
        <w:jc w:val="start"/>
        <w:rPr>
          <w:lang w:val="nl-NL"/>
        </w:rPr>
      </w:pPr>
      <w:r>
        <w:rPr>
          <w:lang w:val="nl-NL"/>
        </w:rPr>
        <w:t>.</w:t>
        <w:tab/>
        <w:t>windladen en windvoorziening gerestaureerd</w:t>
      </w:r>
    </w:p>
    <w:p>
      <w:pPr>
        <w:pStyle w:val="T1"/>
        <w:jc w:val="start"/>
        <w:rPr>
          <w:lang w:val="nl-NL"/>
        </w:rPr>
      </w:pPr>
      <w:r>
        <w:rPr>
          <w:lang w:val="nl-NL"/>
        </w:rPr>
        <w:t>.</w:t>
        <w:tab/>
        <w:t>mechanieken hersteld</w:t>
      </w:r>
    </w:p>
    <w:p>
      <w:pPr>
        <w:pStyle w:val="T1"/>
        <w:jc w:val="start"/>
        <w:rPr>
          <w:lang w:val="nl-NL"/>
        </w:rPr>
      </w:pPr>
      <w:r>
        <w:rPr>
          <w:lang w:val="nl-NL"/>
        </w:rPr>
        <w:t>.</w:t>
        <w:tab/>
        <w:t>tertskoor weer op oorspronkelijke plaats teruggezet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aangehangen pedaal</w:t>
      </w:r>
    </w:p>
    <w:p>
      <w:pPr>
        <w:pStyle w:val="T1"/>
        <w:jc w:val="start"/>
        <w:rPr>
          <w:lang w:val="nl-NL"/>
        </w:rPr>
      </w:pPr>
      <w:r>
        <w:rPr>
          <w:lang w:val="nl-NL"/>
        </w:rPr>
      </w:r>
    </w:p>
    <w:p>
      <w:pPr>
        <w:pStyle w:val="T1"/>
        <w:jc w:val="start"/>
        <w:rPr/>
      </w:pPr>
      <w:r>
        <w:rPr/>
        <w:t>Dispositie</w:t>
      </w:r>
    </w:p>
    <w:tbl>
      <w:tblPr>
        <w:tblW w:w="4866" w:type="dxa"/>
        <w:jc w:val="start"/>
        <w:tblInd w:w="-70" w:type="dxa"/>
        <w:tblLayout w:type="fixed"/>
        <w:tblCellMar>
          <w:top w:w="0" w:type="dxa"/>
          <w:start w:w="70" w:type="dxa"/>
          <w:bottom w:w="0" w:type="dxa"/>
          <w:end w:w="70" w:type="dxa"/>
        </w:tblCellMar>
      </w:tblPr>
      <w:tblGrid>
        <w:gridCol w:w="1782"/>
        <w:gridCol w:w="1019"/>
        <w:gridCol w:w="1690"/>
        <w:gridCol w:w="375"/>
      </w:tblGrid>
      <w:tr>
        <w:trPr/>
        <w:tc>
          <w:tcPr>
            <w:tcW w:w="1782"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Gemshorn*</w:t>
            </w:r>
          </w:p>
          <w:p>
            <w:pPr>
              <w:pStyle w:val="T4dispositie"/>
              <w:rPr>
                <w:lang w:val="nl-NL"/>
              </w:rPr>
            </w:pPr>
            <w:r>
              <w:rPr>
                <w:lang w:val="nl-NL"/>
              </w:rPr>
              <w:t>Octaaf</w:t>
            </w:r>
          </w:p>
          <w:p>
            <w:pPr>
              <w:pStyle w:val="T4dispositie"/>
              <w:rPr>
                <w:lang w:val="nl-NL"/>
              </w:rPr>
            </w:pPr>
            <w:r>
              <w:rPr>
                <w:lang w:val="nl-NL"/>
              </w:rPr>
              <w:t>Flautino</w:t>
            </w:r>
          </w:p>
          <w:p>
            <w:pPr>
              <w:pStyle w:val="T4dispositie"/>
              <w:rPr>
                <w:lang w:val="nl-NL"/>
              </w:rPr>
            </w:pPr>
            <w:r>
              <w:rPr>
                <w:lang w:val="nl-NL"/>
              </w:rPr>
              <w:t>Sesquialter</w:t>
            </w:r>
          </w:p>
          <w:p>
            <w:pPr>
              <w:pStyle w:val="T4dispositie"/>
              <w:rPr>
                <w:lang w:val="nl-NL"/>
              </w:rPr>
            </w:pPr>
            <w:r>
              <w:rPr>
                <w:lang w:val="nl-NL"/>
              </w:rPr>
              <w:t>Mixtur</w:t>
            </w:r>
          </w:p>
          <w:p>
            <w:pPr>
              <w:pStyle w:val="T4dispositie"/>
              <w:rPr>
                <w:lang w:val="nl-NL"/>
              </w:rPr>
            </w:pPr>
            <w:r>
              <w:rPr>
                <w:lang w:val="nl-NL"/>
              </w:rPr>
              <w:t>[Trompet] B/D*</w:t>
            </w:r>
          </w:p>
        </w:tc>
        <w:tc>
          <w:tcPr>
            <w:tcW w:w="101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2-3-4 st.</w:t>
            </w:r>
          </w:p>
          <w:p>
            <w:pPr>
              <w:pStyle w:val="T4dispositie"/>
              <w:rPr>
                <w:lang w:val="nl-NL"/>
              </w:rPr>
            </w:pPr>
            <w:r>
              <w:rPr>
                <w:lang w:val="nl-NL"/>
              </w:rPr>
              <w:t>8'</w:t>
            </w:r>
          </w:p>
        </w:tc>
        <w:tc>
          <w:tcPr>
            <w:tcW w:w="1690" w:type="dxa"/>
            <w:tcBorders/>
          </w:tcPr>
          <w:p>
            <w:pPr>
              <w:pStyle w:val="T4dispositie"/>
              <w:rPr>
                <w:i/>
                <w:i/>
                <w:iCs/>
                <w:lang w:val="nl-NL"/>
              </w:rPr>
            </w:pPr>
            <w:r>
              <w:rPr>
                <w:i/>
                <w:iCs/>
                <w:lang w:val="nl-NL"/>
              </w:rPr>
              <w:t>Dwarswerk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Gedeckt</w:t>
            </w:r>
          </w:p>
          <w:p>
            <w:pPr>
              <w:pStyle w:val="T4dispositie"/>
              <w:rPr>
                <w:lang w:val="nl-NL"/>
              </w:rPr>
            </w:pPr>
            <w:r>
              <w:rPr>
                <w:lang w:val="nl-NL"/>
              </w:rPr>
              <w:t>Salicional</w:t>
            </w:r>
          </w:p>
          <w:p>
            <w:pPr>
              <w:pStyle w:val="T4dispositie"/>
              <w:rPr>
                <w:lang w:val="nl-NL"/>
              </w:rPr>
            </w:pPr>
            <w:r>
              <w:rPr>
                <w:lang w:val="nl-NL"/>
              </w:rPr>
              <w:t>Vox Celeste</w:t>
            </w:r>
          </w:p>
          <w:p>
            <w:pPr>
              <w:pStyle w:val="T4dispositie"/>
              <w:rPr>
                <w:lang w:val="nl-NL"/>
              </w:rPr>
            </w:pPr>
            <w:r>
              <w:rPr>
                <w:lang w:val="nl-NL"/>
              </w:rPr>
              <w:t>Fugara</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gereserveerd</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manual coppel</w:t>
      </w:r>
    </w:p>
    <w:p>
      <w:pPr>
        <w:pStyle w:val="T1"/>
        <w:jc w:val="start"/>
        <w:rPr>
          <w:lang w:val="nl-NL"/>
        </w:rPr>
      </w:pPr>
      <w:r>
        <w:rPr>
          <w:lang w:val="nl-NL"/>
        </w:rPr>
        <w:t>schel</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2020" w:type="dxa"/>
        <w:jc w:val="start"/>
        <w:tblInd w:w="-70" w:type="dxa"/>
        <w:tblLayout w:type="fixed"/>
        <w:tblCellMar>
          <w:top w:w="0" w:type="dxa"/>
          <w:start w:w="70" w:type="dxa"/>
          <w:bottom w:w="0" w:type="dxa"/>
          <w:end w:w="70" w:type="dxa"/>
        </w:tblCellMar>
      </w:tblPr>
      <w:tblGrid>
        <w:gridCol w:w="1291"/>
        <w:gridCol w:w="729"/>
      </w:tblGrid>
      <w:tr>
        <w:trPr/>
        <w:tc>
          <w:tcPr>
            <w:tcW w:w="1291" w:type="dxa"/>
            <w:tcBorders/>
          </w:tcPr>
          <w:p>
            <w:pPr>
              <w:pStyle w:val="T1"/>
              <w:jc w:val="start"/>
              <w:rPr>
                <w:lang w:val="nl-NL"/>
              </w:rPr>
            </w:pPr>
            <w:r>
              <w:rPr>
                <w:lang w:val="nl-NL"/>
              </w:rPr>
              <w:t>Sesquialter</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3811" w:type="dxa"/>
        <w:jc w:val="start"/>
        <w:tblInd w:w="-70" w:type="dxa"/>
        <w:tblLayout w:type="fixed"/>
        <w:tblCellMar>
          <w:top w:w="0" w:type="dxa"/>
          <w:start w:w="70" w:type="dxa"/>
          <w:bottom w:w="0" w:type="dxa"/>
          <w:end w:w="70" w:type="dxa"/>
        </w:tblCellMar>
      </w:tblPr>
      <w:tblGrid>
        <w:gridCol w:w="906"/>
        <w:gridCol w:w="729"/>
        <w:gridCol w:w="729"/>
        <w:gridCol w:w="729"/>
        <w:gridCol w:w="718"/>
      </w:tblGrid>
      <w:tr>
        <w:trPr/>
        <w:tc>
          <w:tcPr>
            <w:tcW w:w="906" w:type="dxa"/>
            <w:tcBorders/>
          </w:tcPr>
          <w:p>
            <w:pPr>
              <w:pStyle w:val="T1"/>
              <w:jc w:val="start"/>
              <w:rPr>
                <w:lang w:val="nl-NL"/>
              </w:rPr>
            </w:pPr>
            <w:r>
              <w:rPr>
                <w:lang w:val="nl-NL"/>
              </w:rPr>
              <w:t>Mixtur</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met elk een eigen schepbalg (1884)</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magazijnbalgen bevinden zich achter het orgel, halverwege de hoogte van de kas, en steken deels door de achterwand van de kas. Beide balgen zijn gekoppeld maar voeren hun wind af in een eigen kanaal dat vervolgens in het hoofdkanaal uitmondt. De treden van beide balgen zijn nog aanwezig.</w:t>
      </w:r>
    </w:p>
    <w:p>
      <w:pPr>
        <w:pStyle w:val="T1"/>
        <w:jc w:val="start"/>
        <w:rPr>
          <w:lang w:val="nl-NL"/>
        </w:rPr>
      </w:pPr>
      <w:r>
        <w:rPr>
          <w:lang w:val="nl-NL"/>
        </w:rPr>
        <w:t xml:space="preserve">De klaviatuur is geheel origineel. De registerknoppen zijn van porselein. De knoppen van de werktuiglijke registers zijn links naast de klavieren geplaatst; die van het DW rechts. De knoppen van het HW zijn in een horizontale rij boven de lessenaarbak aangebracht. </w:t>
      </w:r>
    </w:p>
    <w:p>
      <w:pPr>
        <w:pStyle w:val="T1"/>
        <w:jc w:val="start"/>
        <w:rPr>
          <w:lang w:val="nl-NL"/>
        </w:rPr>
      </w:pPr>
      <w:r>
        <w:rPr>
          <w:lang w:val="nl-NL"/>
        </w:rPr>
        <w:t>De C- en Cis-laden van het HW liggen achter het front. Het pijpwerk is in hele tonen vanuit het midden naar weerszijden aflopend opgesteld. De windlade van het DW is chromatisch ingedeeld en bevindt zich boven de klaviatuur. Op de windladen van het HW is ruimte voor een Gemshorn 8' (vanaf c) en een Trompet B/D 8'. Achter deze laatste sleep is ook ruimte voor stempistons, die echter niet (meer) aanwezig zijn.</w:t>
      </w:r>
    </w:p>
    <w:p>
      <w:pPr>
        <w:pStyle w:val="T1"/>
        <w:jc w:val="start"/>
        <w:rPr/>
      </w:pPr>
      <w:r>
        <w:rPr>
          <w:lang w:val="nl-NL"/>
        </w:rPr>
        <w:t>Het pijpwerk is geheel origineel. C-gis van de Prestant 8' staan in het front, het vervolg staat op de lade en is voorzien van expressions. De bas van de Bourdon 16' is van naaldhout (gedekt), de discant is van metaal. C-f van de Roerfluit 8' is van naaldhout, het vervolg is van metaal. Bij de Octaaf 4' zijn expressions aanwezig van C-h</w:t>
      </w:r>
      <w:r>
        <w:rPr>
          <w:vertAlign w:val="superscript"/>
          <w:lang w:val="nl-NL"/>
        </w:rPr>
        <w:t>1</w:t>
      </w:r>
      <w:r>
        <w:rPr>
          <w:lang w:val="nl-NL"/>
        </w:rPr>
        <w:t xml:space="preserve">. De Flautino 2' is van metaal, cilindrisch en in de bas voorzien van expressions. De beide koren van de Sesquialter zijn conisch. </w:t>
      </w:r>
    </w:p>
    <w:p>
      <w:pPr>
        <w:pStyle w:val="T1"/>
        <w:jc w:val="start"/>
        <w:rPr/>
      </w:pPr>
      <w:r>
        <w:rPr>
          <w:lang w:val="nl-NL"/>
        </w:rPr>
        <w:t>De bas van de Gedeckt 8' is van naaldhout, de discant is van metaal. De Salicional 8' is van C-H gecombineerd met de Gedeckt. De overige pijpen zijn van metaal en voorzien van expressions. De Vox Celeste 8' begint op c</w:t>
      </w:r>
      <w:r>
        <w:rPr>
          <w:vertAlign w:val="superscript"/>
          <w:lang w:val="nl-NL"/>
        </w:rPr>
        <w:t>1</w:t>
      </w:r>
      <w:r>
        <w:rPr>
          <w:lang w:val="nl-NL"/>
        </w:rPr>
        <w:t xml:space="preserve"> en is geheel voorzien van expressions. De Fugara 4' is geheel van metaal en heeft licht trechtervormige corpora; de bas is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2006-04-25T13:55:00Z</dcterms:created>
  <dc:creator>WS1</dc:creator>
  <dc:description/>
  <dc:language>en-US</dc:language>
  <cp:lastModifiedBy>WS1</cp:lastModifiedBy>
  <dcterms:modified xsi:type="dcterms:W3CDTF">2006-04-25T13:55:00Z</dcterms:modified>
  <cp:revision>2</cp:revision>
  <dc:subject/>
  <dc:title>Rhenoy / 1884</dc:title>
</cp:coreProperties>
</file>