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Spijk (Gr) / 1884</w:t>
      </w:r>
    </w:p>
    <w:p>
      <w:pPr>
        <w:pStyle w:val="Heading2"/>
        <w:rPr>
          <w:i w:val="false"/>
          <w:i w:val="false"/>
          <w:iCs/>
        </w:rPr>
      </w:pPr>
      <w:r>
        <w:rPr>
          <w:i w:val="false"/>
          <w:iCs/>
        </w:rPr>
        <w:t>Hervormde Andreaskerk</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Gepleisterde driezijdig gesloten eenbeukige kerk, met nog gedeeltelijk 13e-eeuws muurwerk. Koorsluiting en vensters uit 1676. Toren met dubbele achtkantige bovenbouw uit 1902, naar ontwerp van O. de Leeuw Wieland. Inwendig balken zoldering. Preekstoel uit 1902.</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1884</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Het door de Van Dams voor het eerst in 1879 te Mantgum toegepaste frontmodel werd in Zuid-Scharwoude (1881) iets in hoogte gereduceerd, waardoor het aan rijzigheid inboette. Bij het orgel in Spijk is men nog een eind verder in deze richting gegaan door het veld onder de middentoren te laten vervallen en de toren naar beneden door te trekken. Ook verder werd alles wat in elkaar gedrukt. Het resultaat overtuigt niet in ieder opzicht; het geheel oogt tamelijk onelegant. De vorm van de bovenafsluiting van de velden, een schuin aflopende lijst, versterkt deze indruk nog.</w:t>
      </w:r>
    </w:p>
    <w:p>
      <w:pPr>
        <w:pStyle w:val="T2Kunst"/>
        <w:jc w:val="start"/>
        <w:rPr>
          <w:lang w:val="nl-NL"/>
        </w:rPr>
      </w:pPr>
      <w:r>
        <w:rPr>
          <w:lang w:val="nl-NL"/>
        </w:rPr>
        <w:t>De decoratie is verwant aan die van Mantgum en Zuid-Scharwoude en dus in hoofdzaak gebaseerd op de C-voluut. De plantaardige vormen lijken hier overheersender te zijn geworden. De voluten worden gedeeltelijk tot bladranken getransformeerd, met name aan de pijpvoeten, maar ook boven in de torens. Alleen bij de afsluiting van de bovenste tussenvelden weet de voluut zijn zelfstandigheid te bewaren. De vleugelstukken lijken op die in Zuid-Scharwoude, alleen het bloemmotief in de benedenkrul is weer verwant aan dat te Mantgum.</w:t>
      </w:r>
    </w:p>
    <w:p>
      <w:pPr>
        <w:pStyle w:val="T2Kunst"/>
        <w:jc w:val="start"/>
        <w:rPr>
          <w:lang w:val="nl-NL"/>
        </w:rPr>
      </w:pPr>
      <w:r>
        <w:rPr>
          <w:lang w:val="nl-NL"/>
        </w:rPr>
        <w:t>Op de middentoren een opzetstuk, bestaande uit een cartouche, geflankeerd door C-voluten; op de zijtorens een soort Franse lelie met twee C-voluten als begeleiders.</w:t>
      </w:r>
    </w:p>
    <w:p>
      <w:pPr>
        <w:pStyle w:val="T2Kunst"/>
        <w:jc w:val="start"/>
        <w:rPr>
          <w:lang w:val="nl-NL"/>
        </w:rPr>
      </w:pPr>
      <w:r>
        <w:rPr>
          <w:lang w:val="nl-NL"/>
        </w:rPr>
        <w:t>De consoles onder de torens vertonen dezelfde wigvormige decoratie als Zuid-Scharwoude en Zwaag.</w:t>
      </w:r>
    </w:p>
    <w:p>
      <w:pPr>
        <w:pStyle w:val="T2Kunst"/>
        <w:jc w:val="start"/>
        <w:rPr>
          <w:lang w:val="nl-NL"/>
        </w:rPr>
      </w:pPr>
      <w:r>
        <w:rPr>
          <w:lang w:val="nl-NL"/>
        </w:rPr>
        <w:t>In 1887 zullen de Van Dams een elegantere versie creëren van dit fronttype in hun orgel voor de Gasthuiskerk te Zierikzee, thans in de O.L. Vrouwekerk te Hoogerheide.</w:t>
      </w:r>
    </w:p>
    <w:p>
      <w:pPr>
        <w:pStyle w:val="T3Lit"/>
        <w:jc w:val="start"/>
        <w:rPr>
          <w:lang w:val="nl-NL"/>
        </w:rPr>
      </w:pPr>
      <w:r>
        <w:rPr>
          <w:lang w:val="nl-NL"/>
        </w:rPr>
      </w:r>
    </w:p>
    <w:p>
      <w:pPr>
        <w:pStyle w:val="T3Lit"/>
        <w:jc w:val="start"/>
        <w:rPr>
          <w:b/>
          <w:b/>
          <w:bCs/>
          <w:lang w:val="nl-NL"/>
        </w:rPr>
      </w:pPr>
      <w:r>
        <w:rPr>
          <w:b/>
          <w:bCs/>
          <w:lang w:val="nl-NL"/>
        </w:rPr>
        <w:t>Literatuur</w:t>
      </w:r>
    </w:p>
    <w:p>
      <w:pPr>
        <w:pStyle w:val="T3Lit"/>
        <w:jc w:val="start"/>
        <w:rPr/>
      </w:pPr>
      <w:r>
        <w:rPr>
          <w:i/>
          <w:iCs/>
          <w:lang w:val="nl-NL"/>
        </w:rPr>
        <w:t>Het Groninger orgelbezit van Adorp tot Zijldijk. 5 Fivelingo.</w:t>
      </w:r>
      <w:r>
        <w:rPr>
          <w:lang w:val="nl-NL"/>
        </w:rPr>
        <w:t xml:space="preserve"> Groningen, 1998, 144-145.</w:t>
      </w:r>
    </w:p>
    <w:p>
      <w:pPr>
        <w:pStyle w:val="T3Lit"/>
        <w:jc w:val="start"/>
        <w:rPr>
          <w:lang w:val="nl-NL"/>
        </w:rPr>
      </w:pPr>
      <w:r>
        <w:rPr>
          <w:lang w:val="nl-NL"/>
        </w:rPr>
      </w:r>
    </w:p>
    <w:p>
      <w:pPr>
        <w:pStyle w:val="T3Lit"/>
        <w:jc w:val="start"/>
        <w:rPr>
          <w:lang w:val="nl-NL"/>
        </w:rPr>
      </w:pPr>
      <w:r>
        <w:rPr>
          <w:lang w:val="nl-NL"/>
        </w:rPr>
        <w:t>Monumentnummer 9483</w:t>
      </w:r>
    </w:p>
    <w:p>
      <w:pPr>
        <w:pStyle w:val="T3Lit"/>
        <w:jc w:val="start"/>
        <w:rPr>
          <w:lang w:val="nl-NL"/>
        </w:rPr>
      </w:pPr>
      <w:r>
        <w:rPr>
          <w:lang w:val="nl-NL"/>
        </w:rPr>
        <w:t>Orgelnummer 1392</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L. van Dam en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1884</w:t>
      </w:r>
    </w:p>
    <w:p>
      <w:pPr>
        <w:pStyle w:val="T1"/>
        <w:jc w:val="start"/>
        <w:rPr>
          <w:lang w:val="nl-NL"/>
        </w:rPr>
      </w:pPr>
      <w:r>
        <w:rPr>
          <w:lang w:val="nl-NL"/>
        </w:rPr>
      </w:r>
    </w:p>
    <w:p>
      <w:pPr>
        <w:pStyle w:val="T1"/>
        <w:jc w:val="start"/>
        <w:rPr>
          <w:lang w:val="nl-NL"/>
        </w:rPr>
      </w:pPr>
      <w:r>
        <w:rPr>
          <w:lang w:val="nl-NL"/>
        </w:rPr>
        <w:t>P. van Dam 1918</w:t>
      </w:r>
    </w:p>
    <w:p>
      <w:pPr>
        <w:pStyle w:val="T1"/>
        <w:jc w:val="start"/>
        <w:rPr>
          <w:lang w:val="nl-NL"/>
        </w:rPr>
      </w:pPr>
      <w:r>
        <w:rPr>
          <w:lang w:val="nl-NL"/>
        </w:rPr>
        <w:t>.</w:t>
        <w:tab/>
        <w:t>herstel</w:t>
      </w:r>
    </w:p>
    <w:p>
      <w:pPr>
        <w:pStyle w:val="T1"/>
        <w:jc w:val="start"/>
        <w:rPr>
          <w:lang w:val="nl-NL"/>
        </w:rPr>
      </w:pPr>
      <w:r>
        <w:rPr>
          <w:lang w:val="nl-NL"/>
        </w:rPr>
      </w:r>
    </w:p>
    <w:p>
      <w:pPr>
        <w:pStyle w:val="T1"/>
        <w:jc w:val="start"/>
        <w:rPr>
          <w:lang w:val="nl-NL"/>
        </w:rPr>
      </w:pPr>
      <w:r>
        <w:rPr>
          <w:lang w:val="nl-NL"/>
        </w:rPr>
        <w:t>A.J. Opten 1970</w:t>
      </w:r>
    </w:p>
    <w:p>
      <w:pPr>
        <w:pStyle w:val="T1"/>
        <w:jc w:val="start"/>
        <w:rPr>
          <w:lang w:val="nl-NL"/>
        </w:rPr>
      </w:pPr>
      <w:r>
        <w:rPr>
          <w:lang w:val="nl-NL"/>
        </w:rPr>
        <w:t>.</w:t>
        <w:tab/>
        <w:t>orgel en galerij verplaatst van koor naar westwand kerkgebouw</w:t>
      </w:r>
    </w:p>
    <w:p>
      <w:pPr>
        <w:pStyle w:val="T1"/>
        <w:jc w:val="start"/>
        <w:rPr>
          <w:lang w:val="nl-NL"/>
        </w:rPr>
      </w:pPr>
      <w:r>
        <w:rPr>
          <w:lang w:val="nl-NL"/>
        </w:rPr>
        <w:t>.</w:t>
        <w:tab/>
        <w:t>nieuwe kleinere magazijnbalg geplaatst</w:t>
      </w:r>
    </w:p>
    <w:p>
      <w:pPr>
        <w:pStyle w:val="T1"/>
        <w:jc w:val="start"/>
        <w:rPr>
          <w:lang w:val="nl-NL"/>
        </w:rPr>
      </w:pPr>
      <w:r>
        <w:rPr>
          <w:lang w:val="nl-NL"/>
        </w:rPr>
        <w:t>.</w:t>
        <w:tab/>
        <w:t>sleepafdichting windladen herzien</w:t>
      </w:r>
    </w:p>
    <w:p>
      <w:pPr>
        <w:pStyle w:val="T1"/>
        <w:jc w:val="start"/>
        <w:rPr>
          <w:lang w:val="nl-NL"/>
        </w:rPr>
      </w:pPr>
      <w:r>
        <w:rPr>
          <w:lang w:val="nl-NL"/>
        </w:rPr>
        <w:t>.</w:t>
        <w:tab/>
        <w:t>delen van het speelmechaniek gemoderniseerd; nieuw pedaalklavier aangebracht</w:t>
      </w:r>
    </w:p>
    <w:p>
      <w:pPr>
        <w:pStyle w:val="T1"/>
        <w:jc w:val="start"/>
        <w:rPr>
          <w:lang w:val="nl-NL"/>
        </w:rPr>
      </w:pPr>
      <w:r>
        <w:rPr>
          <w:lang w:val="nl-NL"/>
        </w:rPr>
      </w:r>
    </w:p>
    <w:p>
      <w:pPr>
        <w:pStyle w:val="T1"/>
        <w:jc w:val="start"/>
        <w:rPr>
          <w:lang w:val="nl-NL"/>
        </w:rPr>
      </w:pPr>
      <w:r>
        <w:rPr>
          <w:lang w:val="nl-NL"/>
        </w:rPr>
        <w:t>Werkzaamheden in eigen beheer 1985 en later</w:t>
      </w:r>
    </w:p>
    <w:p>
      <w:pPr>
        <w:pStyle w:val="T1"/>
        <w:jc w:val="start"/>
        <w:rPr>
          <w:lang w:val="nl-NL"/>
        </w:rPr>
      </w:pPr>
      <w:r>
        <w:rPr>
          <w:lang w:val="nl-NL"/>
        </w:rPr>
        <w:t>.</w:t>
        <w:tab/>
        <w:t>nieuwe tremulant geplaatst</w:t>
      </w:r>
    </w:p>
    <w:p>
      <w:pPr>
        <w:pStyle w:val="T1"/>
        <w:jc w:val="start"/>
        <w:rPr>
          <w:lang w:val="nl-NL"/>
        </w:rPr>
      </w:pPr>
      <w:r>
        <w:rPr>
          <w:lang w:val="nl-NL"/>
        </w:rPr>
        <w:t>.</w:t>
        <w:tab/>
        <w:t>registeropschriften vervangen</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aangehangen pedaal</w:t>
      </w:r>
    </w:p>
    <w:p>
      <w:pPr>
        <w:pStyle w:val="T1"/>
        <w:jc w:val="start"/>
        <w:rPr>
          <w:lang w:val="nl-NL"/>
        </w:rPr>
      </w:pPr>
      <w:r>
        <w:rPr>
          <w:lang w:val="nl-NL"/>
        </w:rPr>
      </w:r>
    </w:p>
    <w:p>
      <w:pPr>
        <w:pStyle w:val="T1"/>
        <w:jc w:val="start"/>
        <w:rPr/>
      </w:pPr>
      <w:r>
        <w:rPr/>
        <w:t>Dispositie</w:t>
      </w:r>
    </w:p>
    <w:tbl>
      <w:tblPr>
        <w:tblW w:w="4303" w:type="dxa"/>
        <w:jc w:val="start"/>
        <w:tblInd w:w="-70" w:type="dxa"/>
        <w:tblLayout w:type="fixed"/>
        <w:tblCellMar>
          <w:top w:w="0" w:type="dxa"/>
          <w:start w:w="70" w:type="dxa"/>
          <w:bottom w:w="0" w:type="dxa"/>
          <w:end w:w="70" w:type="dxa"/>
        </w:tblCellMar>
      </w:tblPr>
      <w:tblGrid>
        <w:gridCol w:w="1600"/>
        <w:gridCol w:w="631"/>
        <w:gridCol w:w="1697"/>
        <w:gridCol w:w="375"/>
      </w:tblGrid>
      <w:tr>
        <w:trPr/>
        <w:tc>
          <w:tcPr>
            <w:tcW w:w="160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11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Violon</w:t>
            </w:r>
          </w:p>
          <w:p>
            <w:pPr>
              <w:pStyle w:val="T4dispositie"/>
              <w:jc w:val="start"/>
              <w:rPr>
                <w:lang w:val="nl-NL"/>
              </w:rPr>
            </w:pPr>
            <w:r>
              <w:rPr>
                <w:lang w:val="nl-NL"/>
              </w:rPr>
              <w:t>Octaaf</w:t>
            </w:r>
          </w:p>
          <w:p>
            <w:pPr>
              <w:pStyle w:val="T4dispositie"/>
              <w:jc w:val="start"/>
              <w:rPr>
                <w:lang w:val="nl-NL"/>
              </w:rPr>
            </w:pPr>
            <w:r>
              <w:rPr>
                <w:lang w:val="nl-NL"/>
              </w:rPr>
              <w:t>Roerfluit</w:t>
            </w:r>
          </w:p>
          <w:p>
            <w:pPr>
              <w:pStyle w:val="T4dispositie"/>
              <w:jc w:val="start"/>
              <w:rPr>
                <w:lang w:val="nl-NL"/>
              </w:rPr>
            </w:pPr>
            <w:r>
              <w:rPr>
                <w:lang w:val="nl-NL"/>
              </w:rPr>
              <w:t>Quintprestant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Cornet D</w:t>
            </w:r>
          </w:p>
          <w:p>
            <w:pPr>
              <w:pStyle w:val="T4dispositie"/>
              <w:jc w:val="start"/>
              <w:rPr>
                <w:lang w:val="nl-NL"/>
              </w:rPr>
            </w:pPr>
            <w:r>
              <w:rPr>
                <w:lang w:val="nl-NL"/>
              </w:rPr>
              <w:t>Trompet B/D</w:t>
            </w:r>
          </w:p>
        </w:tc>
        <w:tc>
          <w:tcPr>
            <w:tcW w:w="631"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3 st.*</w:t>
            </w:r>
          </w:p>
          <w:p>
            <w:pPr>
              <w:pStyle w:val="T4dispositie"/>
              <w:jc w:val="start"/>
              <w:rPr>
                <w:lang w:val="nl-NL"/>
              </w:rPr>
            </w:pPr>
            <w:r>
              <w:rPr>
                <w:lang w:val="nl-NL"/>
              </w:rPr>
              <w:t>3 st.</w:t>
            </w:r>
          </w:p>
          <w:p>
            <w:pPr>
              <w:pStyle w:val="T4dispositie"/>
              <w:jc w:val="start"/>
              <w:rPr>
                <w:lang w:val="nl-NL"/>
              </w:rPr>
            </w:pPr>
            <w:r>
              <w:rPr>
                <w:lang w:val="nl-NL"/>
              </w:rPr>
              <w:t>8'</w:t>
            </w:r>
          </w:p>
        </w:tc>
        <w:tc>
          <w:tcPr>
            <w:tcW w:w="1697" w:type="dxa"/>
            <w:tcBorders/>
          </w:tcPr>
          <w:p>
            <w:pPr>
              <w:pStyle w:val="T4dispositie"/>
              <w:jc w:val="start"/>
              <w:rPr>
                <w:i/>
                <w:i/>
                <w:iCs/>
                <w:lang w:val="nl-NL"/>
              </w:rPr>
            </w:pPr>
            <w:r>
              <w:rPr>
                <w:i/>
                <w:iCs/>
                <w:lang w:val="nl-NL"/>
              </w:rPr>
              <w:t>Bovenwerk (II)</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Fluit dolce</w:t>
            </w:r>
          </w:p>
          <w:p>
            <w:pPr>
              <w:pStyle w:val="T4dispositie"/>
              <w:jc w:val="start"/>
              <w:rPr>
                <w:lang w:val="nl-NL"/>
              </w:rPr>
            </w:pPr>
            <w:r>
              <w:rPr>
                <w:lang w:val="nl-NL"/>
              </w:rPr>
              <w:t>Salicionaal</w:t>
            </w:r>
          </w:p>
          <w:p>
            <w:pPr>
              <w:pStyle w:val="T4dispositie"/>
              <w:jc w:val="start"/>
              <w:rPr>
                <w:lang w:val="nl-NL"/>
              </w:rPr>
            </w:pPr>
            <w:r>
              <w:rPr>
                <w:lang w:val="nl-NL"/>
              </w:rPr>
              <w:t>Viool de Gambe</w:t>
            </w:r>
          </w:p>
          <w:p>
            <w:pPr>
              <w:pStyle w:val="T4dispositie"/>
              <w:jc w:val="start"/>
              <w:rPr>
                <w:lang w:val="nl-NL"/>
              </w:rPr>
            </w:pPr>
            <w:r>
              <w:rPr>
                <w:lang w:val="nl-NL"/>
              </w:rPr>
              <w:t>Fluit d’amour</w:t>
            </w:r>
          </w:p>
          <w:p>
            <w:pPr>
              <w:pStyle w:val="T4dispositie"/>
              <w:jc w:val="start"/>
              <w:rPr>
                <w:lang w:val="nl-NL"/>
              </w:rPr>
            </w:pPr>
            <w:r>
              <w:rPr>
                <w:lang w:val="nl-NL"/>
              </w:rPr>
              <w:t>Salicet</w:t>
            </w:r>
          </w:p>
          <w:p>
            <w:pPr>
              <w:pStyle w:val="T4dispositie"/>
              <w:jc w:val="start"/>
              <w:rPr>
                <w:lang w:val="nl-NL"/>
              </w:rPr>
            </w:pPr>
            <w:r>
              <w:rPr>
                <w:lang w:val="nl-NL"/>
              </w:rPr>
              <w:t>Quintfluit</w:t>
            </w:r>
          </w:p>
          <w:p>
            <w:pPr>
              <w:pStyle w:val="T4dispositie"/>
              <w:jc w:val="start"/>
              <w:rPr>
                <w:lang w:val="nl-NL"/>
              </w:rPr>
            </w:pPr>
            <w:r>
              <w:rPr>
                <w:lang w:val="nl-NL"/>
              </w:rPr>
              <w:t>Gemshoorn</w:t>
            </w:r>
          </w:p>
          <w:p>
            <w:pPr>
              <w:pStyle w:val="T4dispositie"/>
              <w:jc w:val="start"/>
              <w:rPr>
                <w:lang w:val="nl-NL"/>
              </w:rPr>
            </w:pPr>
            <w:r>
              <w:rPr>
                <w:lang w:val="nl-NL"/>
              </w:rPr>
              <w:t>Klarinet</w:t>
            </w:r>
          </w:p>
        </w:tc>
        <w:tc>
          <w:tcPr>
            <w:tcW w:w="37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8'</w:t>
            </w:r>
          </w:p>
        </w:tc>
      </w:tr>
    </w:tbl>
    <w:p>
      <w:pPr>
        <w:pStyle w:val="T4dispositie"/>
        <w:jc w:val="start"/>
        <w:rPr>
          <w:lang w:val="nl-NL"/>
        </w:rPr>
      </w:pPr>
      <w:r>
        <w:rPr>
          <w:lang w:val="nl-NL"/>
        </w:rPr>
      </w:r>
    </w:p>
    <w:p>
      <w:pPr>
        <w:pStyle w:val="T4dispositie"/>
        <w:jc w:val="start"/>
        <w:rPr>
          <w:lang w:val="nl-NL"/>
        </w:rPr>
      </w:pPr>
      <w:r>
        <w:rPr>
          <w:lang w:val="nl-NL"/>
        </w:rPr>
        <w:t>* in werkelijkheid 2-3 st.</w:t>
      </w:r>
    </w:p>
    <w:p>
      <w:pPr>
        <w:pStyle w:val="T4dispositie"/>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klavierkoppel</w:t>
      </w:r>
    </w:p>
    <w:p>
      <w:pPr>
        <w:pStyle w:val="T1"/>
        <w:jc w:val="start"/>
        <w:rPr>
          <w:lang w:val="nl-NL"/>
        </w:rPr>
      </w:pPr>
      <w:r>
        <w:rPr>
          <w:lang w:val="nl-NL"/>
        </w:rPr>
        <w:t>afsluitingen HW, BW</w:t>
      </w:r>
    </w:p>
    <w:p>
      <w:pPr>
        <w:pStyle w:val="T1"/>
        <w:jc w:val="start"/>
        <w:rPr>
          <w:lang w:val="nl-NL"/>
        </w:rPr>
      </w:pPr>
      <w:r>
        <w:rPr>
          <w:lang w:val="nl-NL"/>
        </w:rPr>
        <w:t>tremulant</w:t>
      </w:r>
    </w:p>
    <w:p>
      <w:pPr>
        <w:pStyle w:val="T1"/>
        <w:jc w:val="start"/>
        <w:rPr>
          <w:lang w:val="nl-NL"/>
        </w:rPr>
      </w:pPr>
      <w:r>
        <w:rPr>
          <w:lang w:val="nl-NL"/>
        </w:rPr>
        <w:t>windmachine</w:t>
      </w:r>
    </w:p>
    <w:p>
      <w:pPr>
        <w:pStyle w:val="T1"/>
        <w:jc w:val="start"/>
        <w:rPr>
          <w:lang w:val="nl-NL"/>
        </w:rPr>
      </w:pPr>
      <w:r>
        <w:rPr>
          <w:lang w:val="nl-NL"/>
        </w:rPr>
      </w:r>
    </w:p>
    <w:p>
      <w:pPr>
        <w:pStyle w:val="T1"/>
        <w:jc w:val="start"/>
        <w:rPr>
          <w:lang w:val="nl-NL"/>
        </w:rPr>
      </w:pPr>
      <w:r>
        <w:rPr>
          <w:lang w:val="nl-NL"/>
        </w:rPr>
        <w:t>Samenstelling vulstemmen</w:t>
      </w:r>
    </w:p>
    <w:tbl>
      <w:tblPr>
        <w:tblW w:w="3188" w:type="dxa"/>
        <w:jc w:val="start"/>
        <w:tblInd w:w="-70" w:type="dxa"/>
        <w:tblLayout w:type="fixed"/>
        <w:tblCellMar>
          <w:top w:w="0" w:type="dxa"/>
          <w:start w:w="70" w:type="dxa"/>
          <w:bottom w:w="0" w:type="dxa"/>
          <w:end w:w="70" w:type="dxa"/>
        </w:tblCellMar>
      </w:tblPr>
      <w:tblGrid>
        <w:gridCol w:w="1023"/>
        <w:gridCol w:w="729"/>
        <w:gridCol w:w="718"/>
        <w:gridCol w:w="718"/>
      </w:tblGrid>
      <w:tr>
        <w:trPr/>
        <w:tc>
          <w:tcPr>
            <w:tcW w:w="1023" w:type="dxa"/>
            <w:tcBorders/>
          </w:tcPr>
          <w:p>
            <w:pPr>
              <w:pStyle w:val="T1"/>
              <w:jc w:val="start"/>
              <w:rPr>
                <w:lang w:val="nl-NL"/>
              </w:rPr>
            </w:pPr>
            <w:r>
              <w:rPr>
                <w:lang w:val="nl-NL"/>
              </w:rPr>
              <w:t>Mixtuur</w:t>
            </w:r>
          </w:p>
        </w:tc>
        <w:tc>
          <w:tcPr>
            <w:tcW w:w="729" w:type="dxa"/>
            <w:tcBorders/>
          </w:tcPr>
          <w:p>
            <w:pPr>
              <w:pStyle w:val="T4dispositie"/>
              <w:jc w:val="start"/>
              <w:rPr>
                <w:lang w:val="nl-NL"/>
              </w:rPr>
            </w:pPr>
            <w:r>
              <w:rPr>
                <w:lang w:val="nl-NL"/>
              </w:rPr>
              <w:t>C</w:t>
            </w:r>
          </w:p>
          <w:p>
            <w:pPr>
              <w:pStyle w:val="T4dispositie"/>
              <w:jc w:val="start"/>
              <w:rPr>
                <w:lang w:val="nl-NL"/>
              </w:rPr>
            </w:pPr>
            <w:r>
              <w:rPr>
                <w:lang w:val="nl-NL"/>
              </w:rPr>
              <w:t>2</w:t>
            </w:r>
          </w:p>
          <w:p>
            <w:pPr>
              <w:pStyle w:val="T4dispositie"/>
              <w:jc w:val="start"/>
              <w:rPr>
                <w:lang w:val="nl-NL"/>
              </w:rPr>
            </w:pPr>
            <w:r>
              <w:rPr>
                <w:lang w:val="nl-NL"/>
              </w:rPr>
              <w:t>1 1/3</w:t>
            </w:r>
          </w:p>
        </w:tc>
        <w:tc>
          <w:tcPr>
            <w:tcW w:w="718" w:type="dxa"/>
            <w:tcBorders/>
          </w:tcPr>
          <w:p>
            <w:pPr>
              <w:pStyle w:val="T4dispositie"/>
              <w:jc w:val="start"/>
              <w:rPr>
                <w:lang w:val="nl-NL"/>
              </w:rPr>
            </w:pPr>
            <w:r>
              <w:rPr>
                <w:lang w:val="nl-NL"/>
              </w:rPr>
              <w:t>c</w:t>
            </w:r>
          </w:p>
          <w:p>
            <w:pPr>
              <w:pStyle w:val="T4dispositie"/>
              <w:jc w:val="start"/>
              <w:rPr>
                <w:lang w:val="nl-NL"/>
              </w:rPr>
            </w:pPr>
            <w:r>
              <w:rPr>
                <w:lang w:val="nl-NL"/>
              </w:rPr>
              <w:t>2 2/3</w:t>
            </w:r>
          </w:p>
          <w:p>
            <w:pPr>
              <w:pStyle w:val="T4dispositie"/>
              <w:jc w:val="start"/>
              <w:rPr>
                <w:lang w:val="nl-NL"/>
              </w:rPr>
            </w:pPr>
            <w:r>
              <w:rPr>
                <w:lang w:val="nl-NL"/>
              </w:rPr>
              <w:t>2</w:t>
            </w:r>
          </w:p>
        </w:tc>
        <w:tc>
          <w:tcPr>
            <w:tcW w:w="718" w:type="dxa"/>
            <w:tcBorders/>
          </w:tcPr>
          <w:p>
            <w:pPr>
              <w:pStyle w:val="T4dispositie"/>
              <w:jc w:val="start"/>
              <w:rPr/>
            </w:pPr>
            <w:r>
              <w:rPr>
                <w:lang w:val="nl-NL"/>
              </w:rPr>
              <w:t>c</w:t>
            </w:r>
            <w:r>
              <w:rPr>
                <w:vertAlign w:val="superscript"/>
                <w:lang w:val="nl-NL"/>
              </w:rPr>
              <w:t>1</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 xml:space="preserve">Cornet   </w:t>
      </w:r>
      <w:r>
        <w:rPr>
          <w:sz w:val="20"/>
          <w:lang w:val="nl-NL"/>
        </w:rPr>
        <w:t>c</w:t>
      </w:r>
      <w:r>
        <w:rPr>
          <w:sz w:val="20"/>
          <w:vertAlign w:val="superscript"/>
          <w:lang w:val="nl-NL"/>
        </w:rPr>
        <w:t>1</w:t>
      </w:r>
      <w:r>
        <w:rPr>
          <w:sz w:val="20"/>
          <w:lang w:val="nl-NL"/>
        </w:rPr>
        <w:t xml:space="preserve">   2 2/3 – 2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436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w:t>
      </w:r>
    </w:p>
    <w:p>
      <w:pPr>
        <w:pStyle w:val="T1"/>
        <w:jc w:val="start"/>
        <w:rPr>
          <w:lang w:val="nl-NL"/>
        </w:rPr>
      </w:pPr>
      <w:r>
        <w:rPr>
          <w:lang w:val="nl-NL"/>
        </w:rPr>
        <w:t>Winddruk</w:t>
      </w:r>
    </w:p>
    <w:p>
      <w:pPr>
        <w:pStyle w:val="T1"/>
        <w:jc w:val="start"/>
        <w:rPr>
          <w:lang w:val="nl-NL"/>
        </w:rPr>
      </w:pPr>
      <w:r>
        <w:rPr>
          <w:lang w:val="nl-NL"/>
        </w:rPr>
        <w:t>72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Vanwege de geringe hoogte van het kerkgebouw heeft het front van dit orgel geen onderbouw en heeft de magazijnbalg oorspronkelijk achter het orgel gelegen. Omdat daar in de nieuwe, in 1970 tot stand gebrachte situatie geen ruimte voor was, is de oorspronkelijke balg buiten gebruik gesteld en vervangen door een kleine magazijnbalg waarvoor in de onderkas net voldoende ruimte kon worden gevonden. Sindsdien is de balg van 1884, die twee schepbalgen bezit, op de kerkzolder opgeslagen.</w:t>
      </w:r>
    </w:p>
    <w:p>
      <w:pPr>
        <w:pStyle w:val="T1"/>
        <w:jc w:val="start"/>
        <w:rPr>
          <w:lang w:val="nl-NL"/>
        </w:rPr>
      </w:pPr>
      <w:r>
        <w:rPr>
          <w:lang w:val="nl-NL"/>
        </w:rPr>
        <w:t>De eiken windkanalen zijn voor een groot deel nog origineel. Op de plaats waar oorspronkelijk de inliggende tremulant was aangebracht is in eigen beheer nu een opliggende tremulant op het windkanaal gemonteerd. De oorspronkelijke klep van de inliggende tremulant wordt los in het orgel bewaard.</w:t>
      </w:r>
    </w:p>
    <w:p>
      <w:pPr>
        <w:pStyle w:val="T1"/>
        <w:jc w:val="start"/>
        <w:rPr>
          <w:lang w:val="nl-NL"/>
        </w:rPr>
      </w:pPr>
      <w:r>
        <w:rPr>
          <w:lang w:val="nl-NL"/>
        </w:rPr>
        <w:t>De registerknoppen zijn in twee horizontale rijen boven de lessenaar aangebracht. De knop voor de klavierkoppel bevindt zich links van de klavieren. De registernamen zijn op houten strips geschilderd. Bij het vernieuwen van de registeropschriften is het oorspronkelijke lettertype niet in alle opzichten nagevolgd en zijn enkele slordigheden in de nomenclatuur geslopen. De oorspronkelijke naamstrips worden in het orgel bewaard.</w:t>
      </w:r>
    </w:p>
    <w:p>
      <w:pPr>
        <w:pStyle w:val="T1"/>
        <w:jc w:val="start"/>
        <w:rPr>
          <w:lang w:val="nl-NL"/>
        </w:rPr>
      </w:pPr>
      <w:r>
        <w:rPr>
          <w:lang w:val="nl-NL"/>
        </w:rPr>
        <w:t>De eiken windladen hebben opliggende voorslagen, vastgezet met kleine messing klemmen.</w:t>
      </w:r>
    </w:p>
    <w:p>
      <w:pPr>
        <w:pStyle w:val="T1"/>
        <w:jc w:val="start"/>
        <w:rPr/>
      </w:pPr>
      <w:r>
        <w:rPr>
          <w:lang w:val="nl-NL"/>
        </w:rPr>
        <w:t>De cancelvolgorde voor de HW-lade is chromatisch, met een deling tussen d en dis: C-d g</w:t>
      </w:r>
      <w:r>
        <w:rPr>
          <w:vertAlign w:val="superscript"/>
          <w:lang w:val="nl-NL"/>
        </w:rPr>
        <w:t>3</w:t>
      </w:r>
      <w:r>
        <w:rPr>
          <w:lang w:val="nl-NL"/>
        </w:rPr>
        <w:t>-dis. De cancelvolgorde van de BW-lade is in hele tonen, aflopend vanuit C in het midden.</w:t>
      </w:r>
    </w:p>
    <w:p>
      <w:pPr>
        <w:pStyle w:val="T1"/>
        <w:jc w:val="start"/>
        <w:rPr/>
      </w:pPr>
      <w:r>
        <w:rPr>
          <w:lang w:val="nl-NL"/>
        </w:rPr>
        <w:t>Van de Prestant 8' staan C-gis en h-b</w:t>
      </w:r>
      <w:r>
        <w:rPr>
          <w:vertAlign w:val="superscript"/>
          <w:lang w:val="nl-NL"/>
        </w:rPr>
        <w:t>1</w:t>
      </w:r>
      <w:r>
        <w:rPr>
          <w:lang w:val="nl-NL"/>
        </w:rPr>
        <w:t xml:space="preserve"> in het front, a en b staan als binnenpijpen opgesteld. De Violon 8' is van C-Dis gecombineerd met de Prestant, E-fis staan in het front. De Salicionaal 8' (BW) is van C-Dis gecombineerd met de Fluit dolce 8', E-A zijn binnenpijpen, B-h</w:t>
      </w:r>
      <w:r>
        <w:rPr>
          <w:vertAlign w:val="superscript"/>
          <w:lang w:val="nl-NL"/>
        </w:rPr>
        <w:t>1</w:t>
      </w:r>
      <w:r>
        <w:rPr>
          <w:lang w:val="nl-NL"/>
        </w:rPr>
        <w:t xml:space="preserve"> staan in het front.</w:t>
      </w:r>
    </w:p>
    <w:p>
      <w:pPr>
        <w:pStyle w:val="T1"/>
        <w:jc w:val="start"/>
        <w:rPr>
          <w:lang w:val="nl-NL"/>
        </w:rPr>
      </w:pPr>
      <w:r>
        <w:rPr>
          <w:lang w:val="nl-NL"/>
        </w:rPr>
        <w:t>Eiken pijpen zijn toegepast in de Bourdon 16' (C-g), Holpijp 8' (C-G) en de Fluit dolce 8' (C-G). Het hoogste octaaf van de Roerfluit 4' is open, licht conisch. De Viool de Gambe 8' is van C-H gecombineerd met de Fluit dolce 8', vanaf c bestaat het register uit tinnen pijpen. De Fluit d’amour 4' en Quintfluit 3' beginnen met gedekte pijpen (C-e) en zijn verder open. De Gemshoorn 2' is conisch.</w:t>
      </w:r>
    </w:p>
    <w:p>
      <w:pPr>
        <w:pStyle w:val="T1"/>
        <w:jc w:val="start"/>
        <w:rPr>
          <w:lang w:val="nl-NL"/>
        </w:rPr>
      </w:pPr>
      <w:r>
        <w:rPr>
          <w:lang w:val="nl-NL"/>
        </w:rPr>
        <w:t>De Trompet 8' heeft eiken stevels en mahonie koppen. Van C-f zijn koppen en kelen uit één geheel (mahonie), vanaf fis zijn de kelen van messing. Het gehele register heeft trechtervormige metalen bekers. De Klarinet 8’ is een doorslaand tongwerk met mahonie stevels, koppen en kelen en een stevelrepetitie bij gis. De brede messing tongplaten zijn voorzien van smalle tongen. De korte trechtervormige bekers zijn van tin.</w:t>
      </w:r>
    </w:p>
    <w:p>
      <w:pPr>
        <w:pStyle w:val="T1"/>
        <w:jc w:val="start"/>
        <w:rPr/>
      </w:pPr>
      <w:r>
        <w:rPr>
          <w:lang w:val="nl-NL"/>
        </w:rPr>
        <w:t>Expressions zijn toegepast bij alle pijpen van de open acht-voets registers, en verder bij de Octaaf 4', Quintprestant 3', Octaaf 2', Mixtuur en Salicet 4' tot een-voets lengte. Bij de open fluiten op het BW zijn expressions toegepast bij de Fluit d’amour 4' (f-e</w:t>
      </w:r>
      <w:r>
        <w:rPr>
          <w:vertAlign w:val="superscript"/>
          <w:lang w:val="nl-NL"/>
        </w:rPr>
        <w:t>1</w:t>
      </w:r>
      <w:r>
        <w:rPr>
          <w:lang w:val="nl-NL"/>
        </w:rPr>
        <w: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character" w:styleId="Voetnootverwijzing">
    <w:name w:val="Voetnootverwijzing"/>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2006-04-25T13:58:00Z</dcterms:created>
  <dc:creator>WS1</dc:creator>
  <dc:description/>
  <dc:language>en-US</dc:language>
  <cp:lastModifiedBy>WS1</cp:lastModifiedBy>
  <dcterms:modified xsi:type="dcterms:W3CDTF">2006-04-25T13:58:00Z</dcterms:modified>
  <cp:revision>2</cp:revision>
  <dc:subject/>
  <dc:title>Spijk / 1884</dc:title>
</cp:coreProperties>
</file>