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Warstiens / 1884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in rondboogstijl met toren, gebouwd in 1892 naar ontwerp van H.H. Kramer.</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door Bakker &amp; Timmenga veel gebruikte 'Adema-type', hier in een interpretatie van de architect H.H. Kramer, de ontwerper van de kerk. Wij zien drie ronde torens en gedeelde tussenvelden, hier vlak, waarbij de benedenetage rondbogig afsluit en het bovenveld opvalt door zijn geringe hoogte. In afwijking van de meeste andere Bakker &amp; Timmenga-fronten van dit model zijn verhoogde frontstokken hier achterwege gebleven. Opvallend zijn wel de hoge basementen van de torens.</w:t>
      </w:r>
    </w:p>
    <w:p>
      <w:pPr>
        <w:pStyle w:val="T2Kunst"/>
        <w:jc w:val="start"/>
        <w:rPr>
          <w:lang w:val="nl-NL"/>
        </w:rPr>
      </w:pPr>
      <w:r>
        <w:rPr>
          <w:lang w:val="nl-NL"/>
        </w:rPr>
        <w:t>Kramer heeft het hem waarschijnlijk door de orgelmakers aangereikte frontschema gewijzigd en de architectonische aspecten sterker benadrukt. Zo zijn alle stijlen getransformeerd in ronde halfzuilen met bladkapitelen, uitgevoerd in metaal. Verder heeft hij ter weerszijden van de orgelkas driebogige arcaden aangebracht in romaniserende vormen, met dobbelsteenkapitelen. Van een stilistische onbekommerdheid getuigen de bekroningen van deze arcaden ; gietijzeren kammen in aan de gotiek ontleende plantaardige vormen.</w:t>
      </w:r>
    </w:p>
    <w:p>
      <w:pPr>
        <w:pStyle w:val="T2Kunst"/>
        <w:jc w:val="start"/>
        <w:rPr>
          <w:lang w:val="nl-NL"/>
        </w:rPr>
      </w:pPr>
      <w:r>
        <w:rPr>
          <w:lang w:val="nl-NL"/>
        </w:rPr>
        <w:t>Terug naar het orgel. Boven de rondbogen in de benedenvelden zijn bescheiden tandlijsten aangebracht. Op de torenkappen is een decoratie te zien in de vorm van het 'geteld geld' motief. De torens worden bekroond door koepels. Op de middelste is een lier aangebracht, op de zijtorens zijn wijdbeens zittende putti te zien. Het is overgeleverd dat Kramer hiermee volstrekt niet was ingenomen. De bovenvelden worden door een slanke inzwenkende lijst afgesloten. Opmerkelijk is dat blinderingen volledig achterwege zijn gebleven, iets dat bij latere orgels van Bakker &amp; Timmenga zal terugkeren. De consoles onder de torens vertonen rijke bladvormen en vormen daarmee eigenlijk het enige traditionele element aan dit ontwerp.</w:t>
      </w:r>
    </w:p>
    <w:p>
      <w:pPr>
        <w:pStyle w:val="T2Kunst"/>
        <w:jc w:val="start"/>
        <w:rPr>
          <w:lang w:val="nl-NL"/>
        </w:rPr>
      </w:pPr>
      <w:r>
        <w:rPr>
          <w:lang w:val="nl-NL"/>
        </w:rPr>
        <w:t>Zo biedt dit bescheiden orgel in de eveneens bescheiden kerk de beschouwer een buitengewoon fascinerende ontmoeting van orgelbouw en architectuur.</w:t>
      </w:r>
    </w:p>
    <w:p>
      <w:pPr>
        <w:pStyle w:val="T1"/>
        <w:jc w:val="start"/>
        <w:rPr>
          <w:lang w:val="nl-NL"/>
        </w:rPr>
      </w:pPr>
      <w:r>
        <w:rPr>
          <w:lang w:val="nl-NL"/>
        </w:rPr>
      </w:r>
    </w:p>
    <w:p>
      <w:pPr>
        <w:pStyle w:val="T3Lit"/>
        <w:rPr>
          <w:b/>
          <w:b/>
          <w:bCs/>
        </w:rPr>
      </w:pPr>
      <w:r>
        <w:rPr>
          <w:b/>
          <w:bCs/>
        </w:rPr>
        <w:t>Literatuur</w:t>
      </w:r>
    </w:p>
    <w:p>
      <w:pPr>
        <w:pStyle w:val="T3Lit"/>
        <w:rPr/>
      </w:pPr>
      <w:r>
        <w:rPr/>
        <w:t xml:space="preserve">Jan Jongepier, </w:t>
      </w:r>
      <w:r>
        <w:rPr>
          <w:i/>
        </w:rPr>
        <w:t>Vijf eeuwen Friese orgelbouw</w:t>
      </w:r>
      <w:r>
        <w:rPr/>
        <w:t>. Leeuwarden, 2004, 127, 138, 212.</w:t>
      </w:r>
    </w:p>
    <w:p>
      <w:pPr>
        <w:pStyle w:val="T3Lit"/>
        <w:rPr>
          <w:i/>
          <w:i/>
        </w:rPr>
      </w:pPr>
      <w:r>
        <w:rPr>
          <w:i/>
          <w:iCs/>
        </w:rPr>
        <w:t>Kerkelijke Courant</w:t>
      </w:r>
      <w:r>
        <w:rPr/>
        <w:t>, 38/20 (1884).</w:t>
      </w:r>
    </w:p>
    <w:p>
      <w:pPr>
        <w:pStyle w:val="T3Lit"/>
        <w:rPr/>
      </w:pPr>
      <w:r>
        <w:rPr>
          <w:i/>
        </w:rPr>
        <w:t>De Orgelkrant</w:t>
      </w:r>
      <w:r>
        <w:rPr/>
        <w:t>, 5/2 (2000), 6.</w:t>
      </w:r>
    </w:p>
    <w:p>
      <w:pPr>
        <w:pStyle w:val="T3Lit"/>
        <w:rPr/>
      </w:pPr>
      <w:r>
        <w:rPr/>
      </w:r>
    </w:p>
    <w:p>
      <w:pPr>
        <w:pStyle w:val="T3Lit"/>
        <w:rPr>
          <w:b/>
          <w:b/>
          <w:bCs/>
        </w:rPr>
      </w:pPr>
      <w:r>
        <w:rPr>
          <w:b/>
          <w:bCs/>
        </w:rPr>
        <w:t>Niet gepublieerde bron</w:t>
      </w:r>
    </w:p>
    <w:p>
      <w:pPr>
        <w:pStyle w:val="T3Lit"/>
        <w:rPr/>
      </w:pPr>
      <w:r>
        <w:rPr/>
        <w:t xml:space="preserve">J. Jongepier, </w:t>
      </w:r>
      <w:r>
        <w:rPr>
          <w:i/>
          <w:iCs/>
        </w:rPr>
        <w:t>Rapport over het orgel in de Hervormde kerk te Warstiens</w:t>
      </w:r>
      <w:r>
        <w:rPr/>
        <w:t>. Leeuwarden, 1996.</w:t>
      </w:r>
    </w:p>
    <w:p>
      <w:pPr>
        <w:pStyle w:val="T3Lit"/>
        <w:rPr/>
      </w:pPr>
      <w:r>
        <w:rPr/>
      </w:r>
    </w:p>
    <w:p>
      <w:pPr>
        <w:pStyle w:val="T3Lit"/>
        <w:rPr/>
      </w:pPr>
      <w:r>
        <w:rPr/>
        <w:t>Monumentnummer 514850</w:t>
      </w:r>
    </w:p>
    <w:p>
      <w:pPr>
        <w:pStyle w:val="T3Lit"/>
        <w:rPr/>
      </w:pPr>
      <w:r>
        <w:rPr/>
        <w:t>Orgelnummer 1615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T1"/>
        <w:jc w:val="start"/>
        <w:rPr>
          <w:lang w:val="nl-NL"/>
        </w:rPr>
      </w:pPr>
      <w:r>
        <w:rPr>
          <w:lang w:val="nl-NL"/>
        </w:rPr>
        <w:t>Orgelmakerij Bakker &amp; Timmenga 1999</w:t>
      </w:r>
    </w:p>
    <w:p>
      <w:pPr>
        <w:pStyle w:val="T1"/>
        <w:jc w:val="start"/>
        <w:rPr>
          <w:lang w:val="nl-NL"/>
        </w:rPr>
      </w:pPr>
      <w:r>
        <w:rPr>
          <w:lang w:val="nl-NL"/>
        </w:rPr>
        <w:t>.</w:t>
        <w:tab/>
        <w:t>restauratie</w:t>
      </w:r>
    </w:p>
    <w:p>
      <w:pPr>
        <w:pStyle w:val="T1"/>
        <w:jc w:val="start"/>
        <w:rPr>
          <w:lang w:val="nl-NL"/>
        </w:rPr>
      </w:pPr>
      <w:r>
        <w:rPr>
          <w:lang w:val="nl-NL"/>
        </w:rPr>
        <w:t>.</w:t>
        <w:tab/>
        <w:t>kas opnieuw geschilderd naar voorbeeld van het oorspronkelijke schilderwerk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80" w:type="dxa"/>
        <w:jc w:val="start"/>
        <w:tblInd w:w="-70" w:type="dxa"/>
        <w:tblLayout w:type="fixed"/>
        <w:tblCellMar>
          <w:top w:w="0" w:type="dxa"/>
          <w:start w:w="70" w:type="dxa"/>
          <w:bottom w:w="0" w:type="dxa"/>
          <w:end w:w="70" w:type="dxa"/>
        </w:tblCellMar>
      </w:tblPr>
      <w:tblGrid>
        <w:gridCol w:w="1737"/>
        <w:gridCol w:w="643"/>
      </w:tblGrid>
      <w:tr>
        <w:trPr/>
        <w:tc>
          <w:tcPr>
            <w:tcW w:w="1737" w:type="dxa"/>
            <w:tcBorders/>
          </w:tcPr>
          <w:p>
            <w:pPr>
              <w:pStyle w:val="T4dispositie"/>
              <w:rPr>
                <w:i/>
                <w:i/>
                <w:iCs/>
              </w:rPr>
            </w:pPr>
            <w:r>
              <w:rPr>
                <w:i/>
                <w:iCs/>
              </w:rPr>
              <w:t>Manuaal</w:t>
            </w:r>
          </w:p>
          <w:p>
            <w:pPr>
              <w:pStyle w:val="T4dispositie"/>
              <w:rPr/>
            </w:pPr>
            <w:r>
              <w:rPr/>
              <w:t>11 stemmen</w:t>
            </w:r>
          </w:p>
          <w:p>
            <w:pPr>
              <w:pStyle w:val="T4dispositie"/>
              <w:rPr/>
            </w:pPr>
            <w:r>
              <w:rPr/>
            </w:r>
          </w:p>
          <w:p>
            <w:pPr>
              <w:pStyle w:val="T4dispositie"/>
              <w:rPr/>
            </w:pPr>
            <w:r>
              <w:rPr/>
              <w:t>Bourdon B/D</w:t>
            </w:r>
          </w:p>
          <w:p>
            <w:pPr>
              <w:pStyle w:val="T4dispositie"/>
              <w:rPr/>
            </w:pPr>
            <w:r>
              <w:rPr/>
              <w:t>Prestant</w:t>
            </w:r>
          </w:p>
          <w:p>
            <w:pPr>
              <w:pStyle w:val="T4dispositie"/>
              <w:rPr/>
            </w:pPr>
            <w:r>
              <w:rPr/>
              <w:t>Roerfluit</w:t>
            </w:r>
          </w:p>
          <w:p>
            <w:pPr>
              <w:pStyle w:val="T4dispositie"/>
              <w:rPr/>
            </w:pPr>
            <w:r>
              <w:rPr/>
              <w:t>Holpijp</w:t>
            </w:r>
          </w:p>
          <w:p>
            <w:pPr>
              <w:pStyle w:val="T4dispositie"/>
              <w:rPr/>
            </w:pPr>
            <w:r>
              <w:rPr/>
              <w:t>Viola di Gamba</w:t>
            </w:r>
          </w:p>
          <w:p>
            <w:pPr>
              <w:pStyle w:val="T4dispositie"/>
              <w:rPr/>
            </w:pPr>
            <w:r>
              <w:rPr/>
              <w:t>Octaaf</w:t>
            </w:r>
          </w:p>
          <w:p>
            <w:pPr>
              <w:pStyle w:val="T4dispositie"/>
              <w:rPr/>
            </w:pPr>
            <w:r>
              <w:rPr/>
              <w:t>Fluit</w:t>
            </w:r>
          </w:p>
          <w:p>
            <w:pPr>
              <w:pStyle w:val="T4dispositie"/>
              <w:rPr/>
            </w:pPr>
            <w:r>
              <w:rPr/>
              <w:t>Viola</w:t>
            </w:r>
          </w:p>
          <w:p>
            <w:pPr>
              <w:pStyle w:val="T4dispositie"/>
              <w:rPr/>
            </w:pPr>
            <w:r>
              <w:rPr/>
              <w:t>Quint</w:t>
            </w:r>
          </w:p>
          <w:p>
            <w:pPr>
              <w:pStyle w:val="T4dispositie"/>
              <w:rPr/>
            </w:pPr>
            <w:r>
              <w:rPr/>
              <w:t>Octaaf</w:t>
            </w:r>
          </w:p>
          <w:p>
            <w:pPr>
              <w:pStyle w:val="T4dispositie"/>
              <w:rPr/>
            </w:pPr>
            <w:r>
              <w:rPr/>
              <w:t>Cornet D</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twee combinatietreden</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(1884)</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orgel is voorzien van twee eiken windladen, achterelkaar gelegen op hetzelfde niveau, gescheiden door een stempad. De cancelvolgorde is voor beide laden gelijk:</w:t>
      </w:r>
    </w:p>
    <w:p>
      <w:pPr>
        <w:pStyle w:val="T1"/>
        <w:jc w:val="start"/>
        <w:rPr/>
      </w:pPr>
      <w:r>
        <w:rPr>
          <w:lang w:val="nl-NL"/>
        </w:rPr>
        <w:t>f cis A G H dis g / f</w:t>
      </w:r>
      <w:r>
        <w:rPr>
          <w:vertAlign w:val="superscript"/>
          <w:lang w:val="nl-NL"/>
        </w:rPr>
        <w:t>3</w:t>
      </w:r>
      <w:r>
        <w:rPr>
          <w:lang w:val="nl-NL"/>
        </w:rPr>
        <w:t xml:space="preserve"> - a / F Dis Cis C D E Fis / b - e</w:t>
      </w:r>
      <w:r>
        <w:rPr>
          <w:vertAlign w:val="superscript"/>
          <w:lang w:val="nl-NL"/>
        </w:rPr>
        <w:t>3</w:t>
      </w:r>
      <w:r>
        <w:rPr>
          <w:lang w:val="nl-NL"/>
        </w:rPr>
        <w:t xml:space="preserve"> / gis e c Gis B d fis.</w:t>
      </w:r>
    </w:p>
    <w:p>
      <w:pPr>
        <w:pStyle w:val="T1"/>
        <w:jc w:val="start"/>
        <w:rPr>
          <w:lang w:val="nl-NL"/>
        </w:rPr>
      </w:pPr>
      <w:r>
        <w:rPr>
          <w:lang w:val="nl-NL"/>
        </w:rPr>
        <w:t>De registervolgorde (vanaf front naar achteren) is: (eerste lade) Prestant 8', Viola di Gamba 8', Roerfluit 8', Viola 4', Fluit 4', (tweede lade) Cornet, Octaaf 2', Quint 3', Octaaf 4', Bourdon B/D 16'. Beide laden kunnen door middel van ijzeren treden worden in- en uitgeschakeld.</w:t>
      </w:r>
    </w:p>
    <w:p>
      <w:pPr>
        <w:pStyle w:val="T1"/>
        <w:jc w:val="start"/>
        <w:rPr/>
      </w:pPr>
      <w:r>
        <w:rPr>
          <w:lang w:val="nl-NL"/>
        </w:rPr>
        <w:t>In het front spreken C-h</w:t>
      </w:r>
      <w:r>
        <w:rPr>
          <w:vertAlign w:val="superscript"/>
          <w:lang w:val="nl-NL"/>
        </w:rPr>
        <w:t>1</w:t>
      </w:r>
      <w:r>
        <w:rPr>
          <w:lang w:val="nl-NL"/>
        </w:rPr>
        <w:t xml:space="preserve"> van de Prestant 8' in de drie torens en in de bovenste tussenvelden. De pijpen in de onderste velden zijn stom, evenals de kleinste drie pijpen van de bovenste velden (aan de rechterzijde één, aan linkerzijde twee).</w:t>
      </w:r>
    </w:p>
    <w:p>
      <w:pPr>
        <w:pStyle w:val="T1"/>
        <w:jc w:val="start"/>
        <w:rPr>
          <w:lang w:val="nl-NL"/>
        </w:rPr>
      </w:pPr>
      <w:r>
        <w:rPr>
          <w:lang w:val="nl-NL"/>
        </w:rPr>
        <w:t>De registerknoppen zijn boven de lessenaar aangebracht in twee groepen, en voorzien van witte porseleinen naamplaatjes.</w:t>
      </w:r>
    </w:p>
    <w:p>
      <w:pPr>
        <w:pStyle w:val="T1"/>
        <w:jc w:val="start"/>
        <w:rPr>
          <w:lang w:val="nl-NL"/>
        </w:rPr>
      </w:pPr>
      <w:r>
        <w:rPr>
          <w:lang w:val="nl-NL"/>
        </w:rPr>
        <w:t>Eiken pijpen worden aangetroffen in de Bourdon 16' (C-h), de Holpijp 8' (C-H) en de Roerfluit 8' (C-H). De Viola di Gamba is in het groot octaaf gecombineerd met de Roerfluit. De Fluit 4' is in de bas als roerfluit uitgevoerd, in de discant open, cilindrisch.</w:t>
      </w:r>
    </w:p>
    <w:p>
      <w:pPr>
        <w:pStyle w:val="T1"/>
        <w:jc w:val="start"/>
        <w:rPr/>
      </w:pPr>
      <w:r>
        <w:rPr>
          <w:lang w:val="nl-NL"/>
        </w:rPr>
        <w:t>Expressions zijn toegepast bij de Prestant 8' (binnenpijpen c</w:t>
      </w:r>
      <w:r>
        <w:rPr>
          <w:vertAlign w:val="superscript"/>
          <w:lang w:val="nl-NL"/>
        </w:rPr>
        <w:t>2</w:t>
      </w:r>
      <w:r>
        <w:rPr>
          <w:lang w:val="nl-NL"/>
        </w:rPr>
        <w:t>-h</w:t>
      </w:r>
      <w:r>
        <w:rPr>
          <w:vertAlign w:val="superscript"/>
          <w:lang w:val="nl-NL"/>
        </w:rPr>
        <w:t>2</w:t>
      </w:r>
      <w:r>
        <w:rPr>
          <w:lang w:val="nl-NL"/>
        </w:rPr>
        <w:t>), Viola di Gamba 8' (c-h</w:t>
      </w:r>
      <w:r>
        <w:rPr>
          <w:vertAlign w:val="superscript"/>
          <w:lang w:val="nl-NL"/>
        </w:rPr>
        <w:t>2</w:t>
      </w:r>
      <w:r>
        <w:rPr>
          <w:lang w:val="nl-NL"/>
        </w:rPr>
        <w:t>), Viola 4' (C-h</w:t>
      </w:r>
      <w:r>
        <w:rPr>
          <w:vertAlign w:val="superscript"/>
          <w:lang w:val="nl-NL"/>
        </w:rPr>
        <w:t>1</w:t>
      </w:r>
      <w:r>
        <w:rPr>
          <w:lang w:val="nl-NL"/>
        </w:rPr>
        <w:t>), Octaaf 4' (C-dis</w:t>
      </w:r>
      <w:r>
        <w:rPr>
          <w:vertAlign w:val="superscript"/>
          <w:lang w:val="nl-NL"/>
        </w:rPr>
        <w:t>2</w:t>
      </w:r>
      <w:r>
        <w:rPr>
          <w:lang w:val="nl-NL"/>
        </w:rPr>
        <w:t>), Quint 3' (C-f</w:t>
      </w:r>
      <w:r>
        <w:rPr>
          <w:vertAlign w:val="superscript"/>
          <w:lang w:val="nl-NL"/>
        </w:rPr>
        <w:t>1</w:t>
      </w:r>
      <w:r>
        <w:rPr>
          <w:lang w:val="nl-NL"/>
        </w:rPr>
        <w:t>), en de Octaaf 2' (C-d</w:t>
      </w:r>
      <w:r>
        <w:rPr>
          <w:vertAlign w:val="superscript"/>
          <w:lang w:val="nl-NL"/>
        </w:rPr>
        <w:t>1</w:t>
      </w:r>
      <w:r>
        <w:rPr>
          <w:lang w:val="nl-NL"/>
        </w:rPr>
        <w:t>). Stemkrullen (vanaf de bovenrand ingesneden) komen voor bij de Fluit 4' (c</w:t>
      </w:r>
      <w:r>
        <w:rPr>
          <w:vertAlign w:val="superscript"/>
          <w:lang w:val="nl-NL"/>
        </w:rPr>
        <w:t>1</w:t>
      </w:r>
      <w:r>
        <w:rPr>
          <w:lang w:val="nl-NL"/>
        </w:rPr>
        <w:t>-h</w:t>
      </w:r>
      <w:r>
        <w:rPr>
          <w:vertAlign w:val="superscript"/>
          <w:lang w:val="nl-NL"/>
        </w:rPr>
        <w:t>2</w:t>
      </w:r>
      <w:r>
        <w:rPr>
          <w:lang w:val="nl-NL"/>
        </w:rPr>
        <w:t>) en de Cornet (vier-voets koor c</w:t>
      </w:r>
      <w:r>
        <w:rPr>
          <w:vertAlign w:val="superscript"/>
          <w:lang w:val="nl-NL"/>
        </w:rPr>
        <w:t>2</w:t>
      </w:r>
      <w:r>
        <w:rPr>
          <w:lang w:val="nl-NL"/>
        </w:rPr>
        <w:t>-a</w:t>
      </w:r>
      <w:r>
        <w:rPr>
          <w:vertAlign w:val="superscript"/>
          <w:lang w:val="nl-NL"/>
        </w:rPr>
        <w:t>2</w:t>
      </w:r>
      <w:r>
        <w:rPr>
          <w:lang w:val="nl-NL"/>
        </w:rPr>
        <w:t>, 2 2/3-voets koor c</w:t>
      </w:r>
      <w:r>
        <w:rPr>
          <w:vertAlign w:val="superscript"/>
          <w:lang w:val="nl-NL"/>
        </w:rPr>
        <w:t>1</w:t>
      </w:r>
      <w:r>
        <w:rPr>
          <w:lang w:val="nl-NL"/>
        </w:rPr>
        <w:t>-d</w:t>
      </w:r>
      <w:r>
        <w:rPr>
          <w:vertAlign w:val="superscript"/>
          <w:lang w:val="nl-NL"/>
        </w:rPr>
        <w:t>2</w:t>
      </w:r>
      <w:r>
        <w:rPr>
          <w:lang w:val="nl-NL"/>
        </w:rPr>
        <w:t xml:space="preserve"> en c</w:t>
      </w:r>
      <w:r>
        <w:rPr>
          <w:vertAlign w:val="superscript"/>
          <w:lang w:val="nl-NL"/>
        </w:rPr>
        <w:t>1</w:t>
      </w:r>
      <w:r>
        <w:rPr>
          <w:lang w:val="nl-NL"/>
        </w:rPr>
        <w:t>-f</w:t>
      </w:r>
      <w:r>
        <w:rPr>
          <w:vertAlign w:val="superscript"/>
          <w:lang w:val="nl-NL"/>
        </w:rPr>
        <w:t>1</w:t>
      </w:r>
      <w:r>
        <w:rPr>
          <w:lang w:val="nl-NL"/>
        </w:rPr>
        <w:t xml:space="preserve"> van het 1 3/5-voets koor). Van het vier-voets koor van de Cornet is het eengestreept octaaf 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2006-04-25T14:00:00Z</dcterms:created>
  <dc:creator>WS1</dc:creator>
  <dc:description/>
  <dc:language>en-US</dc:language>
  <cp:lastModifiedBy>WS1</cp:lastModifiedBy>
  <dcterms:modified xsi:type="dcterms:W3CDTF">2006-04-25T14:00:00Z</dcterms:modified>
  <cp:revision>2</cp:revision>
  <dc:subject/>
  <dc:title>Warstiens / 1884</dc:title>
</cp:coreProperties>
</file>