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Aartswoud / 1885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uit 1886 in rondboogstijl, gebouwd tegen een 16-eeuwse toren die aan de west- en zuidzijden is beklampt en van een neogotische decoratie is voorzien. De hoofdingang is aan de oostzijde. Inwendig een gekoofd houten tongewelf. Rijk gestoelte uit 1641. De overige inrichting uit de bouwtijd.</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 neorenaissance front van een niet ongebruikelijk model. Beeldbepalend element is vooral de vlakke middentoren, bekroond door een gebroken gebogen timpaan. Deze wordt geflankeerd door vlakke tweedelige tussenvelden met een horizontale bovenlijst en vervolgens door twee ronde zijtorens met koepelvormige bekroningen. In de benedenvelden ziet men een horizontaal labiumverloop, in de bovenvelden een schuin naar het midden aflopende labiumlijn, De detaillering is ontleend aan de vroeg 17e-eeuwse meubelstijlen, wellicht om aansluiting te verkrijgen met het onder het orgel opgestelde schitterende gestoelte uit 1641.</w:t>
      </w:r>
    </w:p>
    <w:p>
      <w:pPr>
        <w:pStyle w:val="T2Kunst"/>
        <w:jc w:val="start"/>
        <w:rPr>
          <w:lang w:val="nl-NL"/>
        </w:rPr>
      </w:pPr>
      <w:r>
        <w:rPr>
          <w:lang w:val="nl-NL"/>
        </w:rPr>
        <w:t>De stijlen van de torens zijn getransformeerd tot pilasters met strakke ionische kapitelen en diamantkoppen ter hoogte van de tussenlijsten in de velden. Blinderingen aan de pijpvoeten ontbreken. Boven in de torens zijn gesloten blinderingen aangebracht. Zo ook in de hoeken van de bovenvelden, waar zij de vorm hebben van eenvoudige consoles. Dezelfde vormen treft men aan in de benedenvelden, maar dan met plantaardig rankwerk. Op de bovenlijsten van de velden staan ingezwenkte opzetstukken met een Franse lelie en het opschrift ‘Anno 1885’. De onderkas wordt geflankeerd door lage vleugelstukken in de vorm van S-voluten met rozetten en geabstraheerde bloem- en bladmotieven.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Informatie Nederlandse Orgels</w:t>
      </w:r>
      <w:r>
        <w:rPr>
          <w:lang w:val="nl-NL"/>
        </w:rPr>
        <w:t>, 1-69, 3-69.</w:t>
      </w:r>
    </w:p>
    <w:p>
      <w:pPr>
        <w:pStyle w:val="T3Lit"/>
        <w:rPr/>
      </w:pPr>
      <w:r>
        <w:rPr>
          <w:i/>
          <w:iCs/>
          <w:lang w:val="nl-NL"/>
        </w:rPr>
        <w:t>Kerkelijke Courant</w:t>
      </w:r>
      <w:r>
        <w:rPr>
          <w:lang w:val="nl-NL"/>
        </w:rPr>
        <w:t>, 39/22 (1885).</w:t>
      </w:r>
    </w:p>
    <w:p>
      <w:pPr>
        <w:pStyle w:val="T3Li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Jan Jongepier, </w:t>
      </w:r>
      <w:r>
        <w:rPr>
          <w:i/>
          <w:iCs/>
          <w:lang w:val="nl-NL"/>
        </w:rPr>
        <w:t>Rapport over het orgel in de Hervormde Kerk te Aartswoud</w:t>
      </w:r>
      <w:r>
        <w:rPr>
          <w:lang w:val="nl-NL"/>
        </w:rPr>
        <w:t>. Leeuwarden, 2002.</w:t>
      </w:r>
    </w:p>
    <w:p>
      <w:pPr>
        <w:pStyle w:val="T3Lit"/>
        <w:rPr>
          <w:lang w:val="nl-NL"/>
        </w:rPr>
      </w:pPr>
      <w:r>
        <w:rPr>
          <w:lang w:val="nl-NL"/>
        </w:rPr>
      </w:r>
    </w:p>
    <w:p>
      <w:pPr>
        <w:pStyle w:val="T3Lit"/>
        <w:rPr>
          <w:lang w:val="nl-NL"/>
        </w:rPr>
      </w:pPr>
      <w:r>
        <w:rPr>
          <w:lang w:val="nl-NL"/>
        </w:rPr>
        <w:t>Monumentnummer 31783</w:t>
      </w:r>
    </w:p>
    <w:p>
      <w:pPr>
        <w:pStyle w:val="T3Lit"/>
        <w:rPr>
          <w:lang w:val="nl-NL"/>
        </w:rPr>
      </w:pPr>
      <w:r>
        <w:rPr>
          <w:lang w:val="nl-NL"/>
        </w:rPr>
        <w:t>Orgelnummer 163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R. Ibach</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A.M.T. van Ingen 1910</w:t>
      </w:r>
    </w:p>
    <w:p>
      <w:pPr>
        <w:pStyle w:val="T1"/>
        <w:jc w:val="start"/>
        <w:rPr>
          <w:lang w:val="nl-NL"/>
        </w:rPr>
      </w:pPr>
      <w:r>
        <w:rPr>
          <w:lang w:val="nl-NL"/>
        </w:rPr>
        <w:t>.</w:t>
        <w:tab/>
        <w:t>frontpijpen hersteld</w:t>
      </w:r>
    </w:p>
    <w:p>
      <w:pPr>
        <w:pStyle w:val="T1"/>
        <w:jc w:val="start"/>
        <w:rPr>
          <w:lang w:val="nl-NL"/>
        </w:rPr>
      </w:pPr>
      <w:r>
        <w:rPr>
          <w:lang w:val="nl-NL"/>
        </w:rPr>
      </w:r>
    </w:p>
    <w:p>
      <w:pPr>
        <w:pStyle w:val="T1"/>
        <w:jc w:val="start"/>
        <w:rPr>
          <w:lang w:val="nl-NL"/>
        </w:rPr>
      </w:pPr>
      <w:r>
        <w:rPr>
          <w:lang w:val="nl-NL"/>
        </w:rPr>
        <w:t>Jos. Vermeulen 1970</w:t>
      </w:r>
    </w:p>
    <w:p>
      <w:pPr>
        <w:pStyle w:val="T1"/>
        <w:jc w:val="start"/>
        <w:rPr>
          <w:lang w:val="nl-NL"/>
        </w:rPr>
      </w:pPr>
      <w:r>
        <w:rPr>
          <w:lang w:val="nl-NL"/>
        </w:rPr>
        <w:t>.</w:t>
        <w:tab/>
        <w:t>schoonmaak en herstel</w:t>
      </w:r>
    </w:p>
    <w:p>
      <w:pPr>
        <w:pStyle w:val="T1"/>
        <w:numPr>
          <w:ilvl w:val="0"/>
          <w:numId w:val="2"/>
        </w:numPr>
        <w:jc w:val="start"/>
        <w:rPr>
          <w:lang w:val="nl-NL"/>
        </w:rPr>
      </w:pPr>
      <w:r>
        <w:rPr>
          <w:lang w:val="nl-NL"/>
        </w:rPr>
        <w:t>oorspronkelijke balg afgekoppeld en in balgruimte opgeslagen, andere magazijnbalg (zonder schepbalgen) geplaatst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7134" w:type="dxa"/>
        <w:jc w:val="start"/>
        <w:tblInd w:w="-70" w:type="dxa"/>
        <w:tblLayout w:type="fixed"/>
        <w:tblCellMar>
          <w:top w:w="0" w:type="dxa"/>
          <w:start w:w="70" w:type="dxa"/>
          <w:bottom w:w="0" w:type="dxa"/>
          <w:end w:w="70" w:type="dxa"/>
        </w:tblCellMar>
      </w:tblPr>
      <w:tblGrid>
        <w:gridCol w:w="2272"/>
        <w:gridCol w:w="718"/>
        <w:gridCol w:w="1791"/>
        <w:gridCol w:w="375"/>
        <w:gridCol w:w="1498"/>
        <w:gridCol w:w="480"/>
      </w:tblGrid>
      <w:tr>
        <w:trPr/>
        <w:tc>
          <w:tcPr>
            <w:tcW w:w="2272"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Gemshoorn</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Holfluit</w:t>
            </w:r>
          </w:p>
          <w:p>
            <w:pPr>
              <w:pStyle w:val="T4dispositie"/>
              <w:jc w:val="start"/>
              <w:rPr>
                <w:lang w:val="nl-NL"/>
              </w:rPr>
            </w:pPr>
            <w:r>
              <w:rPr>
                <w:lang w:val="nl-NL"/>
              </w:rPr>
              <w:t>Progressiv Harmonica</w:t>
            </w:r>
          </w:p>
          <w:p>
            <w:pPr>
              <w:pStyle w:val="T4dispositie"/>
              <w:jc w:val="start"/>
              <w:rPr>
                <w:lang w:val="nl-NL"/>
              </w:rPr>
            </w:pPr>
            <w:r>
              <w:rPr>
                <w:lang w:val="nl-NL"/>
              </w:rPr>
              <w:t>Trompet B/D</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2-5 f.</w:t>
            </w:r>
          </w:p>
          <w:p>
            <w:pPr>
              <w:pStyle w:val="T4dispositie"/>
              <w:jc w:val="start"/>
              <w:rPr>
                <w:lang w:val="nl-NL"/>
              </w:rPr>
            </w:pPr>
            <w:r>
              <w:rPr>
                <w:lang w:val="nl-NL"/>
              </w:rPr>
              <w:t>8'</w:t>
            </w:r>
          </w:p>
        </w:tc>
        <w:tc>
          <w:tcPr>
            <w:tcW w:w="1791" w:type="dxa"/>
            <w:tcBorders/>
          </w:tcPr>
          <w:p>
            <w:pPr>
              <w:pStyle w:val="T4dispositie"/>
              <w:jc w:val="start"/>
              <w:rPr>
                <w:i/>
                <w:i/>
                <w:iCs/>
                <w:lang w:val="nl-NL"/>
              </w:rPr>
            </w:pPr>
            <w:r>
              <w:rPr>
                <w:i/>
                <w:iCs/>
                <w:lang w:val="nl-NL"/>
              </w:rPr>
              <w:t>Dwarswerk (II)</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Holpyp</w:t>
            </w:r>
          </w:p>
          <w:p>
            <w:pPr>
              <w:pStyle w:val="T4dispositie"/>
              <w:jc w:val="start"/>
              <w:rPr>
                <w:lang w:val="nl-NL"/>
              </w:rPr>
            </w:pPr>
            <w:r>
              <w:rPr>
                <w:lang w:val="nl-NL"/>
              </w:rPr>
              <w:t>Viool de Gamba</w:t>
            </w:r>
          </w:p>
          <w:p>
            <w:pPr>
              <w:pStyle w:val="T4dispositie"/>
              <w:jc w:val="start"/>
              <w:rPr>
                <w:lang w:val="nl-NL"/>
              </w:rPr>
            </w:pPr>
            <w:r>
              <w:rPr>
                <w:lang w:val="nl-NL"/>
              </w:rPr>
              <w:t>Voz Celeste</w:t>
            </w:r>
          </w:p>
          <w:p>
            <w:pPr>
              <w:pStyle w:val="T4dispositie"/>
              <w:jc w:val="start"/>
              <w:rPr>
                <w:lang w:val="nl-NL"/>
              </w:rPr>
            </w:pPr>
            <w:r>
              <w:rPr>
                <w:lang w:val="nl-NL"/>
              </w:rPr>
              <w:t>Fluit douze</w:t>
            </w:r>
          </w:p>
          <w:p>
            <w:pPr>
              <w:pStyle w:val="T4dispositie"/>
              <w:jc w:val="start"/>
              <w:rPr>
                <w:lang w:val="nl-NL"/>
              </w:rPr>
            </w:pPr>
            <w:r>
              <w:rPr>
                <w:lang w:val="nl-NL"/>
              </w:rPr>
              <w:t>Flautino</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c>
          <w:tcPr>
            <w:tcW w:w="1498"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Violonbass</w:t>
            </w:r>
          </w:p>
          <w:p>
            <w:pPr>
              <w:pStyle w:val="T4dispositie"/>
              <w:jc w:val="start"/>
              <w:rPr>
                <w:lang w:val="nl-NL"/>
              </w:rPr>
            </w:pPr>
            <w:r>
              <w:rPr>
                <w:lang w:val="nl-NL"/>
              </w:rPr>
              <w:t>Principalbass</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 coppeling, pedaal coppeling</w:t>
      </w:r>
    </w:p>
    <w:p>
      <w:pPr>
        <w:pStyle w:val="T1"/>
        <w:jc w:val="start"/>
        <w:rPr>
          <w:lang w:val="nl-NL"/>
        </w:rPr>
      </w:pPr>
      <w:r>
        <w:rPr>
          <w:lang w:val="nl-NL"/>
        </w:rPr>
        <w:t>schel</w:t>
      </w:r>
    </w:p>
    <w:p>
      <w:pPr>
        <w:pStyle w:val="T1"/>
        <w:jc w:val="start"/>
        <w:rPr>
          <w:lang w:val="nl-NL"/>
        </w:rPr>
      </w:pPr>
      <w:r>
        <w:rPr>
          <w:lang w:val="nl-NL"/>
        </w:rPr>
        <w:t>ventiel</w:t>
      </w:r>
    </w:p>
    <w:p>
      <w:pPr>
        <w:pStyle w:val="T1"/>
        <w:jc w:val="start"/>
        <w:rPr>
          <w:lang w:val="nl-NL"/>
        </w:rPr>
      </w:pPr>
      <w:r>
        <w:rPr>
          <w:lang w:val="nl-NL"/>
        </w:rPr>
        <w:t>loze knop</w:t>
      </w:r>
    </w:p>
    <w:p>
      <w:pPr>
        <w:pStyle w:val="T1"/>
        <w:jc w:val="start"/>
        <w:rPr>
          <w:lang w:val="nl-NL"/>
        </w:rPr>
      </w:pPr>
      <w:r>
        <w:rPr>
          <w:lang w:val="nl-NL"/>
        </w:rPr>
      </w:r>
    </w:p>
    <w:p>
      <w:pPr>
        <w:pStyle w:val="T1"/>
        <w:jc w:val="start"/>
        <w:rPr>
          <w:lang w:val="nl-NL"/>
        </w:rPr>
      </w:pPr>
      <w:r>
        <w:rPr>
          <w:lang w:val="nl-NL"/>
        </w:rPr>
        <w:t>Samenstelling vulstem</w:t>
      </w:r>
    </w:p>
    <w:tbl>
      <w:tblPr>
        <w:tblW w:w="5156" w:type="dxa"/>
        <w:jc w:val="start"/>
        <w:tblInd w:w="-70" w:type="dxa"/>
        <w:tblLayout w:type="fixed"/>
        <w:tblCellMar>
          <w:top w:w="0" w:type="dxa"/>
          <w:start w:w="70" w:type="dxa"/>
          <w:bottom w:w="0" w:type="dxa"/>
          <w:end w:w="70" w:type="dxa"/>
        </w:tblCellMar>
      </w:tblPr>
      <w:tblGrid>
        <w:gridCol w:w="2284"/>
        <w:gridCol w:w="718"/>
        <w:gridCol w:w="718"/>
        <w:gridCol w:w="718"/>
        <w:gridCol w:w="718"/>
      </w:tblGrid>
      <w:tr>
        <w:trPr/>
        <w:tc>
          <w:tcPr>
            <w:tcW w:w="2284" w:type="dxa"/>
            <w:tcBorders/>
          </w:tcPr>
          <w:p>
            <w:pPr>
              <w:pStyle w:val="T1"/>
              <w:jc w:val="start"/>
              <w:rPr>
                <w:lang w:val="nl-NL"/>
              </w:rPr>
            </w:pPr>
            <w:r>
              <w:rPr>
                <w:lang w:val="nl-NL"/>
              </w:rPr>
              <w:t>Progressiv Harmonica</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(gebruikte balg, geplaatst in 1970) en regulateur (1885)</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balgruimte bevindt zich op de zolder van de vergaderzaal achter het orgel. De oorspronkelijke magazijnbalg met schepbalgen is daar, op zijn kant geplaatst, opgeslagen. De schepbalgen werden oorspronkelijk bediend door een handpomp die achter het orgel op het niveau van de orgelgalerij, was aangebracht. De regulateurbalg die in het orgel is geplaatst, heeft beuken scharen.</w:t>
      </w:r>
    </w:p>
    <w:p>
      <w:pPr>
        <w:pStyle w:val="T1"/>
        <w:jc w:val="start"/>
        <w:rPr>
          <w:lang w:val="nl-NL"/>
        </w:rPr>
      </w:pPr>
      <w:r>
        <w:rPr>
          <w:lang w:val="nl-NL"/>
        </w:rPr>
        <w:t>De klaviatuur is geheel origineel en kan met deurtjes worden afgesloten. De registerknoppen zijn vermoedelijk van porselein; de registerplaatjes maken deel uit van de knop. De knoppen van het Ped en de werktuiglijke registers zijn links naast de klavieren geplaatst; die van het DW rechts. De knoppen van het HW zijn in een horizontale rij boven de lessenaarbak aangebracht.</w:t>
      </w:r>
    </w:p>
    <w:p>
      <w:pPr>
        <w:pStyle w:val="T1"/>
        <w:jc w:val="start"/>
        <w:rPr>
          <w:lang w:val="nl-NL"/>
        </w:rPr>
      </w:pPr>
      <w:r>
        <w:rPr>
          <w:lang w:val="nl-NL"/>
        </w:rPr>
        <w:t>De windladen van HW en DW zijn sleepladen met originele dekplaten. De windlade van het Ped bestaat uit twee registercancellen. De C- en Cis-lade van het HW liggen direct achter het front. Het pijpwerk is in hele tonen vanuit het midden naar weerszijden aflopend opgesteld. De windlade van het DW is chromatisch ingedeeld en bevindt zich boven de klaviatuur. De windlade van het Ped ligt achter in de kas. De windladen van het HW zijn voorzien van stempistons.</w:t>
      </w:r>
    </w:p>
    <w:p>
      <w:pPr>
        <w:pStyle w:val="T1"/>
        <w:jc w:val="start"/>
        <w:rPr/>
      </w:pPr>
      <w:r>
        <w:rPr>
          <w:lang w:val="nl-NL"/>
        </w:rPr>
        <w:t>Het pijpwerk is geheel origineel. C-E van de Prestant 16' zijn van hout (open) en opgesteld achter het middenveld van het front. Fis-c</w:t>
      </w:r>
      <w:r>
        <w:rPr>
          <w:vertAlign w:val="superscript"/>
          <w:lang w:val="nl-NL"/>
        </w:rPr>
        <w:t>1</w:t>
      </w:r>
      <w:r>
        <w:rPr>
          <w:lang w:val="nl-NL"/>
        </w:rPr>
        <w:t xml:space="preserve"> staan in het front (tin), het vervolg staat op de lade en is voorzien van expressions. Van de Octaaf 8' staan C en Cis in het front. D-G zijn afgevoerd, het vervolg staat op de lade. Expressions zijn aanwezig tot en met h</w:t>
      </w:r>
      <w:r>
        <w:rPr>
          <w:vertAlign w:val="superscript"/>
          <w:lang w:val="nl-NL"/>
        </w:rPr>
        <w:t>2</w:t>
      </w:r>
      <w:r>
        <w:rPr>
          <w:lang w:val="nl-NL"/>
        </w:rPr>
        <w:t>, het vervolg is op lengte afgesneden. Het groot octaaf van de Roerfluit 8' is van naaldhout, het vervolg is van metaal. De Gemshoorn 8' is van C-H gecombineerd met de Roerfluit. Het metalen pijpwerk is conisch en deels voorzien van expressions. Bij de Octaaf 4' zijn expressions aanwezig van C-cis</w:t>
      </w:r>
      <w:r>
        <w:rPr>
          <w:vertAlign w:val="superscript"/>
          <w:lang w:val="nl-NL"/>
        </w:rPr>
        <w:t>2</w:t>
      </w:r>
      <w:r>
        <w:rPr>
          <w:lang w:val="nl-NL"/>
        </w:rPr>
        <w:t>. Het groot octaaf van de Holfluit 4' is van naaldhout (open), het vervolg is van metaal (cilindrisch) en tot en met cis</w:t>
      </w:r>
      <w:r>
        <w:rPr>
          <w:vertAlign w:val="superscript"/>
          <w:lang w:val="nl-NL"/>
        </w:rPr>
        <w:t>2</w:t>
      </w:r>
      <w:r>
        <w:rPr>
          <w:lang w:val="nl-NL"/>
        </w:rPr>
        <w:t xml:space="preserve"> voorzien van expressions. De Trompet 8' heeft zinken stevels voor C-h. De koppen zijn van lood, de bekers van metaal; c</w:t>
      </w:r>
      <w:r>
        <w:rPr>
          <w:vertAlign w:val="superscript"/>
          <w:lang w:val="nl-NL"/>
        </w:rPr>
        <w:t>2</w:t>
      </w:r>
      <w:r>
        <w:rPr>
          <w:lang w:val="nl-NL"/>
        </w:rPr>
        <w:t>-f</w:t>
      </w:r>
      <w:r>
        <w:rPr>
          <w:vertAlign w:val="superscript"/>
          <w:lang w:val="nl-NL"/>
        </w:rPr>
        <w:t>3</w:t>
      </w:r>
      <w:r>
        <w:rPr>
          <w:lang w:val="nl-NL"/>
        </w:rPr>
        <w:t xml:space="preserve"> met dubbele lengte.</w:t>
      </w:r>
    </w:p>
    <w:p>
      <w:pPr>
        <w:pStyle w:val="T1"/>
        <w:jc w:val="start"/>
        <w:rPr/>
      </w:pPr>
      <w:r>
        <w:rPr>
          <w:lang w:val="nl-NL"/>
        </w:rPr>
        <w:t>Het groot octaaf van de Holpyp 8' is van naaldhout. De Viool de Gamba 8' heeft kastbaarden van C-h en zijbaarden in de discant. Expressions zijn aanwezig van C-e</w:t>
      </w:r>
      <w:r>
        <w:rPr>
          <w:vertAlign w:val="superscript"/>
          <w:lang w:val="nl-NL"/>
        </w:rPr>
        <w:t>2</w:t>
      </w:r>
      <w:r>
        <w:rPr>
          <w:lang w:val="nl-NL"/>
        </w:rPr>
        <w:t>. De Voz Celeste 8' (sic) begint op c en heeft kastbaarden van c-h en zijbaarden in de discant. Expressions zijn aanwezig van c-g</w:t>
      </w:r>
      <w:r>
        <w:rPr>
          <w:vertAlign w:val="superscript"/>
          <w:lang w:val="nl-NL"/>
        </w:rPr>
        <w:t>1</w:t>
      </w:r>
      <w:r>
        <w:rPr>
          <w:lang w:val="nl-NL"/>
        </w:rPr>
        <w:t>. De Fluit douze 4' is van C-e</w:t>
      </w:r>
      <w:r>
        <w:rPr>
          <w:vertAlign w:val="superscript"/>
          <w:lang w:val="nl-NL"/>
        </w:rPr>
        <w:t>2</w:t>
      </w:r>
      <w:r>
        <w:rPr>
          <w:lang w:val="nl-NL"/>
        </w:rPr>
        <w:t xml:space="preserve"> gedekt, het vervolg is open, conisch. De Flautino 2' is licht conisch en heeft expressions van C-f</w:t>
      </w:r>
      <w:r>
        <w:rPr>
          <w:vertAlign w:val="superscript"/>
          <w:lang w:val="nl-NL"/>
        </w:rPr>
        <w:t>1</w:t>
      </w:r>
      <w:r>
        <w:rPr>
          <w:lang w:val="nl-NL"/>
        </w:rPr>
        <w:t>.</w:t>
      </w:r>
    </w:p>
    <w:p>
      <w:pPr>
        <w:pStyle w:val="T1"/>
        <w:jc w:val="start"/>
        <w:rPr>
          <w:lang w:val="nl-NL"/>
        </w:rPr>
      </w:pPr>
      <w:r>
        <w:rPr>
          <w:lang w:val="nl-NL"/>
        </w:rPr>
        <w:t>De Violonbass 16' en de Principalbass 8' zijn van naaldhout, open en voorzien van stemschuiven.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2006-04-25T14:04:00Z</dcterms:created>
  <dc:creator>WS1</dc:creator>
  <dc:description/>
  <dc:language>en-US</dc:language>
  <cp:lastModifiedBy>WS1</cp:lastModifiedBy>
  <dcterms:modified xsi:type="dcterms:W3CDTF">2006-04-25T14:04:00Z</dcterms:modified>
  <cp:revision>2</cp:revision>
  <dc:subject/>
  <dc:title>Aartswoud / 1885</dc:title>
</cp:coreProperties>
</file>