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Borne / 1885</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Eenvoudige zaalkerk uit 1838.</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1884 bouwde Haupt een orgel voor de toenmalige Doopsgezinde Kerk te Hengelo, thans in de Vredeskerk te Winschoten. Een jaar later had hij opnieuw een Twentse Doopsgezinde Gemeente tot klant, en wel in Borne. De frontindeling bij beide instrumenten is enigszins verwant, maar vertoont ook aanzienlijke verschillen. In Hengelo/Winschoten heeft het orgel drie ronde torens, in Borne zijn alle drie de torens spits, wat niet zeer gebruikelijk is. Beide instrumenten hebben verder de verhoogde pijpstokken in de tussenvelden gemeen.</w:t>
      </w:r>
    </w:p>
    <w:p>
      <w:pPr>
        <w:pStyle w:val="T2Kunst"/>
        <w:jc w:val="start"/>
        <w:rPr>
          <w:lang w:val="nl-NL"/>
        </w:rPr>
      </w:pPr>
      <w:r>
        <w:rPr>
          <w:lang w:val="nl-NL"/>
        </w:rPr>
        <w:t>De detaillering is uiterst sober. Blinderingen aan de pijpvoeten ontbreken. In de onderlijsten van de torens en de kappen is een rondboogfries aangebracht.</w:t>
      </w:r>
    </w:p>
    <w:p>
      <w:pPr>
        <w:pStyle w:val="T2Kunst"/>
        <w:jc w:val="start"/>
        <w:rPr>
          <w:lang w:val="nl-NL"/>
        </w:rPr>
      </w:pPr>
      <w:r>
        <w:rPr>
          <w:lang w:val="nl-NL"/>
        </w:rPr>
        <w:t>De blinderingen boven in de torens bestaan uit bescheiden voluten met een hangend plantaardig element in het midden. In de velden is daar eenvoudig rankwerk aangebracht, voornamelijk opgebouwd uit C-voluten. Het snijwerk boven de velden heeft dezelfde samenstelling. Op de torens transparante opzetstukken, uit voluut-elementen samengesteld en bekroond door een driedelig plantaardig element.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51 (1985), 33-34.</w:t>
      </w:r>
    </w:p>
    <w:p>
      <w:pPr>
        <w:pStyle w:val="T3Lit"/>
        <w:jc w:val="start"/>
        <w:rPr/>
      </w:pPr>
      <w:r>
        <w:rPr>
          <w:i/>
          <w:lang w:val="nl-NL"/>
        </w:rPr>
        <w:t>Het Orgel</w:t>
      </w:r>
      <w:r>
        <w:rPr>
          <w:lang w:val="nl-NL"/>
        </w:rPr>
        <w:t>, 81/10 (1985), 442-444.</w:t>
      </w:r>
    </w:p>
    <w:p>
      <w:pPr>
        <w:pStyle w:val="T3Lit"/>
        <w:jc w:val="start"/>
        <w:rPr/>
      </w:pPr>
      <w:r>
        <w:rPr>
          <w:lang w:val="nl-NL"/>
        </w:rPr>
        <w:t xml:space="preserve">Bert Wisgerhof, ‘Twee orgels in Borne’, </w:t>
      </w:r>
      <w:r>
        <w:rPr>
          <w:i/>
          <w:lang w:val="nl-NL"/>
        </w:rPr>
        <w:t>Organist en Eredienst</w:t>
      </w:r>
      <w:r>
        <w:rPr>
          <w:lang w:val="nl-NL"/>
        </w:rPr>
        <w:t>, 1986/9, 239-241.</w:t>
      </w:r>
    </w:p>
    <w:p>
      <w:pPr>
        <w:pStyle w:val="T3Lit"/>
        <w:jc w:val="start"/>
        <w:rPr>
          <w:lang w:val="nl-NL"/>
        </w:rPr>
      </w:pPr>
      <w:r>
        <w:rPr>
          <w:lang w:val="nl-NL"/>
        </w:rPr>
      </w:r>
    </w:p>
    <w:p>
      <w:pPr>
        <w:pStyle w:val="T3Lit"/>
        <w:jc w:val="start"/>
        <w:rPr>
          <w:lang w:val="nl-NL"/>
        </w:rPr>
      </w:pPr>
      <w:r>
        <w:rPr>
          <w:lang w:val="nl-NL"/>
        </w:rPr>
        <w:t>Monumentnummer 9921</w:t>
      </w:r>
    </w:p>
    <w:p>
      <w:pPr>
        <w:pStyle w:val="T3Lit"/>
        <w:jc w:val="start"/>
        <w:rPr>
          <w:lang w:val="nl-NL"/>
        </w:rPr>
      </w:pPr>
      <w:r>
        <w:rPr>
          <w:lang w:val="nl-NL"/>
        </w:rPr>
        <w:t>Orgelnummer 206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 Haupt &amp; Sohn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B. Koch, onbekend moment</w:t>
      </w:r>
    </w:p>
    <w:p>
      <w:pPr>
        <w:pStyle w:val="T1"/>
        <w:jc w:val="start"/>
        <w:rPr>
          <w:lang w:val="nl-NL"/>
        </w:rPr>
      </w:pPr>
      <w:r>
        <w:rPr>
          <w:lang w:val="nl-NL"/>
        </w:rPr>
        <w:t>.</w:t>
        <w:tab/>
        <w:t>windlade Man I gerestaureerd</w:t>
      </w:r>
    </w:p>
    <w:p>
      <w:pPr>
        <w:pStyle w:val="T1"/>
        <w:jc w:val="start"/>
        <w:rPr>
          <w:lang w:val="nl-NL"/>
        </w:rPr>
      </w:pPr>
      <w:r>
        <w:rPr>
          <w:lang w:val="nl-NL"/>
        </w:rPr>
        <w:t>.</w:t>
        <w:tab/>
        <w:t>toetsmechaniek Man I gewijzigd</w:t>
      </w:r>
    </w:p>
    <w:p>
      <w:pPr>
        <w:pStyle w:val="T1"/>
        <w:jc w:val="start"/>
        <w:rPr>
          <w:lang w:val="nl-NL"/>
        </w:rPr>
      </w:pPr>
      <w:r>
        <w:rPr>
          <w:lang w:val="nl-NL"/>
        </w:rPr>
        <w:t>.</w:t>
        <w:tab/>
        <w:t>mogelijk bij die gelegenheid steminrichting Harmonium verwijderd</w:t>
      </w:r>
    </w:p>
    <w:p>
      <w:pPr>
        <w:pStyle w:val="T1"/>
        <w:jc w:val="start"/>
        <w:rPr>
          <w:lang w:val="nl-NL"/>
        </w:rPr>
      </w:pPr>
      <w:r>
        <w:rPr>
          <w:lang w:val="nl-NL"/>
        </w:rPr>
      </w:r>
    </w:p>
    <w:p>
      <w:pPr>
        <w:pStyle w:val="T1"/>
        <w:jc w:val="start"/>
        <w:rPr>
          <w:lang w:val="nl-NL"/>
        </w:rPr>
      </w:pPr>
      <w:r>
        <w:rPr>
          <w:lang w:val="nl-NL"/>
        </w:rPr>
        <w:t>1983</w:t>
      </w:r>
    </w:p>
    <w:p>
      <w:pPr>
        <w:pStyle w:val="T1"/>
        <w:jc w:val="start"/>
        <w:rPr>
          <w:lang w:val="nl-NL"/>
        </w:rPr>
      </w:pPr>
      <w:r>
        <w:rPr>
          <w:lang w:val="nl-NL"/>
        </w:rPr>
        <w:t>.</w:t>
        <w:tab/>
        <w:t>waterschade aan orgel door brand kerkdak</w:t>
      </w:r>
    </w:p>
    <w:p>
      <w:pPr>
        <w:pStyle w:val="T1"/>
        <w:jc w:val="start"/>
        <w:rPr>
          <w:lang w:val="nl-NL"/>
        </w:rPr>
      </w:pPr>
      <w:r>
        <w:rPr>
          <w:lang w:val="nl-NL"/>
        </w:rPr>
      </w:r>
    </w:p>
    <w:p>
      <w:pPr>
        <w:pStyle w:val="T1"/>
        <w:jc w:val="start"/>
        <w:rPr>
          <w:lang w:val="nl-NL"/>
        </w:rPr>
      </w:pPr>
      <w:r>
        <w:rPr>
          <w:lang w:val="nl-NL"/>
        </w:rPr>
        <w:t>Slooff Orgelbouw 1984</w:t>
      </w:r>
    </w:p>
    <w:p>
      <w:pPr>
        <w:pStyle w:val="T1"/>
        <w:jc w:val="start"/>
        <w:rPr>
          <w:lang w:val="nl-NL"/>
        </w:rPr>
      </w:pPr>
      <w:r>
        <w:rPr>
          <w:lang w:val="nl-NL"/>
        </w:rPr>
        <w:t>.</w:t>
        <w:tab/>
        <w:t>orgel hersteld</w:t>
      </w:r>
    </w:p>
    <w:p>
      <w:pPr>
        <w:pStyle w:val="T1"/>
        <w:jc w:val="start"/>
        <w:rPr>
          <w:lang w:val="nl-NL"/>
        </w:rPr>
      </w:pPr>
      <w:r>
        <w:rPr>
          <w:lang w:val="nl-NL"/>
        </w:rPr>
        <w:t>.</w:t>
        <w:tab/>
        <w:t>windladen Man I en Ped gerestaureerd</w:t>
      </w:r>
    </w:p>
    <w:p>
      <w:pPr>
        <w:pStyle w:val="T1"/>
        <w:jc w:val="start"/>
        <w:rPr>
          <w:lang w:val="nl-NL"/>
        </w:rPr>
      </w:pPr>
      <w:r>
        <w:rPr>
          <w:lang w:val="nl-NL"/>
        </w:rPr>
        <w:t>.</w:t>
        <w:tab/>
        <w:t>magazijnbalg opnieuw beleerd</w:t>
      </w:r>
    </w:p>
    <w:p>
      <w:pPr>
        <w:pStyle w:val="T1"/>
        <w:jc w:val="start"/>
        <w:rPr>
          <w:lang w:val="nl-NL"/>
        </w:rPr>
      </w:pPr>
      <w:r>
        <w:rPr>
          <w:lang w:val="nl-NL"/>
        </w:rPr>
        <w:t>.</w:t>
        <w:tab/>
        <w:t>toetsmechanieken in oorspronkelijke staat teruggebracht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5415" w:type="dxa"/>
        <w:jc w:val="start"/>
        <w:tblInd w:w="-70" w:type="dxa"/>
        <w:tblLayout w:type="fixed"/>
        <w:tblCellMar>
          <w:top w:w="0" w:type="dxa"/>
          <w:start w:w="70" w:type="dxa"/>
          <w:bottom w:w="0" w:type="dxa"/>
          <w:end w:w="70" w:type="dxa"/>
        </w:tblCellMar>
      </w:tblPr>
      <w:tblGrid>
        <w:gridCol w:w="1747"/>
        <w:gridCol w:w="375"/>
        <w:gridCol w:w="1390"/>
        <w:gridCol w:w="375"/>
        <w:gridCol w:w="1036"/>
        <w:gridCol w:w="492"/>
      </w:tblGrid>
      <w:tr>
        <w:trPr/>
        <w:tc>
          <w:tcPr>
            <w:tcW w:w="1747" w:type="dxa"/>
            <w:tcBorders/>
          </w:tcPr>
          <w:p>
            <w:pPr>
              <w:pStyle w:val="T4dispositie"/>
              <w:jc w:val="start"/>
              <w:rPr>
                <w:i/>
                <w:i/>
                <w:iCs/>
                <w:lang w:val="nl-NL"/>
              </w:rPr>
            </w:pPr>
            <w:r>
              <w:rPr>
                <w:i/>
                <w:iCs/>
                <w:lang w:val="nl-NL"/>
              </w:rPr>
              <w:t>Manuaal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Geigenprincipal</w:t>
            </w:r>
          </w:p>
          <w:p>
            <w:pPr>
              <w:pStyle w:val="T4dispositie"/>
              <w:jc w:val="start"/>
              <w:rPr>
                <w:lang w:val="nl-NL"/>
              </w:rPr>
            </w:pPr>
            <w:r>
              <w:rPr>
                <w:lang w:val="nl-NL"/>
              </w:rPr>
              <w:t>Rohrflöte</w:t>
            </w:r>
          </w:p>
          <w:p>
            <w:pPr>
              <w:pStyle w:val="T4dispositie"/>
              <w:jc w:val="start"/>
              <w:rPr>
                <w:lang w:val="nl-NL"/>
              </w:rPr>
            </w:pPr>
            <w:r>
              <w:rPr>
                <w:lang w:val="nl-NL"/>
              </w:rPr>
              <w:t>Fugara</w:t>
            </w:r>
          </w:p>
          <w:p>
            <w:pPr>
              <w:pStyle w:val="T4dispositie"/>
              <w:jc w:val="start"/>
              <w:rPr>
                <w:lang w:val="nl-NL"/>
              </w:rPr>
            </w:pPr>
            <w:r>
              <w:rPr>
                <w:lang w:val="nl-NL"/>
              </w:rPr>
              <w:t>Doppelflöte</w:t>
            </w:r>
          </w:p>
          <w:p>
            <w:pPr>
              <w:pStyle w:val="T4dispositie"/>
              <w:jc w:val="start"/>
              <w:rPr>
                <w:lang w:val="nl-NL"/>
              </w:rPr>
            </w:pPr>
            <w:r>
              <w:rPr>
                <w:lang w:val="nl-NL"/>
              </w:rPr>
              <w:t>Spitzflöte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390" w:type="dxa"/>
            <w:tcBorders/>
          </w:tcPr>
          <w:p>
            <w:pPr>
              <w:pStyle w:val="T4dispositie"/>
              <w:jc w:val="start"/>
              <w:rPr>
                <w:i/>
                <w:i/>
                <w:iCs/>
                <w:lang w:val="nl-NL"/>
              </w:rPr>
            </w:pPr>
            <w:r>
              <w:rPr>
                <w:i/>
                <w:iCs/>
                <w:lang w:val="nl-NL"/>
              </w:rPr>
              <w:t>Manuaal II</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Harmonium</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tc>
        <w:tc>
          <w:tcPr>
            <w:tcW w:w="1036"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Posaune</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Manual Coppel, Pedal Coppel</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(1885)</w:t>
      </w:r>
    </w:p>
    <w:p>
      <w:pPr>
        <w:pStyle w:val="T1"/>
        <w:jc w:val="start"/>
        <w:rPr>
          <w:lang w:val="nl-NL"/>
        </w:rPr>
      </w:pPr>
      <w:r>
        <w:rPr>
          <w:lang w:val="nl-NL"/>
        </w:rPr>
        <w:t>Winddruk</w:t>
      </w:r>
    </w:p>
    <w:p>
      <w:pPr>
        <w:pStyle w:val="T1"/>
        <w:jc w:val="start"/>
        <w:rPr>
          <w:lang w:val="nl-NL"/>
        </w:rPr>
      </w:pPr>
      <w:r>
        <w:rPr>
          <w:lang w:val="nl-NL"/>
        </w:rPr>
        <w:t>61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handklavieren zijn gevat in bakstukken en lijsten van mahonie. De lessenaarbak is van eiken. De registerknoppen zijn voorzien van porseleinen registerplaatjes. De opschriften van Manuaal I zijn op een witte ondergrond aangebracht. Voor Manuaal II is een roze ondergrond gebruikt; voor het Ped een groene en voor het ventil een blauwe. De registerknoppen van de beide manualen en het ventil zijn boven de lessenaar geplaatst. Links naast de klavieren bevinden zich de knoppen van het Pedaal en de pedaalkoppel. De manuaalkoppel is rechts geplaatst.</w:t>
      </w:r>
    </w:p>
    <w:p>
      <w:pPr>
        <w:pStyle w:val="T1"/>
        <w:jc w:val="start"/>
        <w:rPr>
          <w:lang w:val="nl-NL"/>
        </w:rPr>
      </w:pPr>
      <w:r>
        <w:rPr>
          <w:lang w:val="nl-NL"/>
        </w:rPr>
        <w:t>De balg met bijbehorende schepbalgen bevindt zich rechts naast het orgel op de galerij.</w:t>
      </w:r>
    </w:p>
    <w:p>
      <w:pPr>
        <w:pStyle w:val="T1"/>
        <w:jc w:val="start"/>
        <w:rPr>
          <w:lang w:val="nl-NL"/>
        </w:rPr>
      </w:pPr>
      <w:r>
        <w:rPr>
          <w:lang w:val="nl-NL"/>
        </w:rPr>
        <w:t>De lade voor man I ligt vrij laag in de kas. Het tweede manuaal is een eenspels drukwindharmonium dat vlak boven het tweede klavier geplaatst is. De windtoevoer wordt door middel van een registerknop ingeschakeld. De kas heeft geen achterwand en de lade van het Ped staat tegen de muur van het kerkgebouw.</w:t>
      </w:r>
    </w:p>
    <w:p>
      <w:pPr>
        <w:pStyle w:val="T1"/>
        <w:jc w:val="start"/>
        <w:rPr/>
      </w:pPr>
      <w:r>
        <w:rPr>
          <w:lang w:val="nl-NL"/>
        </w:rPr>
        <w:t>Het pijpwerk is geheel origineel. C-Gis van de Geigenprincipal 8' zijn open naaldhouten binnenpijpen, A-f</w:t>
      </w:r>
      <w:r>
        <w:rPr>
          <w:vertAlign w:val="superscript"/>
          <w:lang w:val="nl-NL"/>
        </w:rPr>
        <w:t>1</w:t>
      </w:r>
      <w:r>
        <w:rPr>
          <w:lang w:val="nl-NL"/>
        </w:rPr>
        <w:t xml:space="preserve"> staan in de torens van het front (de tussenvelden zijn stom), het vervolg staat op de lade. Alle metalen pijpen met expressions. C-cis van de Rohrflöte 8' zijn van hout (gedekt), d-f</w:t>
      </w:r>
      <w:r>
        <w:rPr>
          <w:vertAlign w:val="superscript"/>
          <w:lang w:val="nl-NL"/>
        </w:rPr>
        <w:t>1</w:t>
      </w:r>
      <w:r>
        <w:rPr>
          <w:lang w:val="nl-NL"/>
        </w:rPr>
        <w:t xml:space="preserve"> zijn van metaal (gedekt), het vervolg is uitgevoerd als roerfluit. Alle pijpen hebben boogvormige opsneden. De Fugara 8' is van C-H gecombineerd met de Rohrflöte 8', het vervolg is van metaal, cilindrisch en voorzien van expressions. De Doppelflöte 4' is geheel van naaldhout; C-b</w:t>
      </w:r>
      <w:r>
        <w:rPr>
          <w:vertAlign w:val="superscript"/>
          <w:lang w:val="nl-NL"/>
        </w:rPr>
        <w:t>1</w:t>
      </w:r>
      <w:r>
        <w:rPr>
          <w:lang w:val="nl-NL"/>
        </w:rPr>
        <w:t xml:space="preserve"> gedekt, h</w:t>
      </w:r>
      <w:r>
        <w:rPr>
          <w:vertAlign w:val="superscript"/>
          <w:lang w:val="nl-NL"/>
        </w:rPr>
        <w:t>1</w:t>
      </w:r>
      <w:r>
        <w:rPr>
          <w:lang w:val="nl-NL"/>
        </w:rPr>
        <w:t>-f</w:t>
      </w:r>
      <w:r>
        <w:rPr>
          <w:vertAlign w:val="superscript"/>
          <w:lang w:val="nl-NL"/>
        </w:rPr>
        <w:t>3</w:t>
      </w:r>
      <w:r>
        <w:rPr>
          <w:lang w:val="nl-NL"/>
        </w:rPr>
        <w:t xml:space="preserve"> open. De eng gemensureerde Spitzflöte 2' heeft conische tinnen corpora en voeten van orgelmetaal; de opsneden zijn boogvormig.</w:t>
      </w:r>
    </w:p>
    <w:p>
      <w:pPr>
        <w:pStyle w:val="T1"/>
        <w:jc w:val="start"/>
        <w:rPr>
          <w:lang w:val="nl-NL"/>
        </w:rPr>
      </w:pPr>
      <w:r>
        <w:rPr>
          <w:lang w:val="nl-NL"/>
        </w:rPr>
        <w:t>De Posaune 16' heeft grenen stevels en koppen, doorslaande tongen en trechtervormige zinken bekers met halve lengte. Op g vindt een stevelrepetitie plaats.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2006-04-25T14:07:00Z</dcterms:created>
  <dc:creator>WS1</dc:creator>
  <dc:description/>
  <dc:language>en-US</dc:language>
  <cp:lastModifiedBy>WS1</cp:lastModifiedBy>
  <dcterms:modified xsi:type="dcterms:W3CDTF">2006-04-25T14:07:00Z</dcterms:modified>
  <cp:revision>2</cp:revision>
  <dc:subject/>
  <dc:title>Borne / 1885</dc:title>
</cp:coreProperties>
</file>