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Damwoude-Dantumawoude / 1885</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lang w:val="nl-NL"/>
        </w:rPr>
      </w:pPr>
      <w:r>
        <w:rPr>
          <w:i/>
          <w:iCs/>
          <w:lang w:val="nl-NL"/>
        </w:rPr>
        <w:t>Zaalkerk uit 1767, inwendig gedekt door een houten tongewelf.</w:t>
      </w:r>
    </w:p>
    <w:p>
      <w:pPr>
        <w:pStyle w:val="T1"/>
        <w:jc w:val="start"/>
        <w:rPr>
          <w:lang w:val="nl-NL"/>
        </w:rPr>
      </w:pPr>
      <w:r>
        <w:rPr>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nauw verwant aan dat in de Doopsgezinde Kerk te Oldeboorn (1882). Ook hier een variant van het aan de Gebroeders Adema ontleende frontmodel, met holle velden met een grotere breedte-ontwikkeling dan bij het eerste orgel van dit type in Irnsum (1882). Vergeleken daarmee maken de instrumenten in Oldeboorn een Damwoude een wat robuustere indruk.</w:t>
      </w:r>
    </w:p>
    <w:p>
      <w:pPr>
        <w:pStyle w:val="T2Kunst"/>
        <w:jc w:val="start"/>
        <w:rPr>
          <w:lang w:val="nl-NL"/>
        </w:rPr>
      </w:pPr>
      <w:r>
        <w:rPr>
          <w:lang w:val="nl-NL"/>
        </w:rPr>
        <w:t>Ook de decoratie is bij beide orgels verwant, zij het dat met name bij de torens de in Oldeboorn prominent aanwezige voluutvormen hier in bladranken schuil gaan. Verder zijn de vormen iets doorzichtiger, wat met name bij de vleugelstukken blijkt. Op de middentoren ook hier een lier met zwanenhalzen, geflankeerd door voluutvormen. Op de zijtorens opzetstukken, samengesteld uit voluut-elementen. Omdat het orgel, in afwijking van het instrument in Oldeboorn, hier niet boven de preekstoel is geplaatst, zijn hier onder de torens eenvoudige consoles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181.</w:t>
      </w:r>
    </w:p>
    <w:p>
      <w:pPr>
        <w:pStyle w:val="T3Lit"/>
        <w:rPr/>
      </w:pPr>
      <w:r>
        <w:rPr>
          <w:i/>
          <w:iCs/>
          <w:lang w:val="nl-NL"/>
        </w:rPr>
        <w:t>Leeuwarder Courant</w:t>
      </w:r>
      <w:r>
        <w:rPr>
          <w:lang w:val="nl-NL"/>
        </w:rPr>
        <w:t>, 19 mei 1885</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w:t>
      </w:r>
    </w:p>
    <w:p>
      <w:pPr>
        <w:pStyle w:val="T3Lit"/>
        <w:jc w:val="start"/>
        <w:rPr>
          <w:lang w:val="nl-NL"/>
        </w:rPr>
      </w:pPr>
      <w:r>
        <w:rPr>
          <w:lang w:val="nl-NL"/>
        </w:rPr>
      </w:r>
    </w:p>
    <w:p>
      <w:pPr>
        <w:pStyle w:val="T3Lit"/>
        <w:jc w:val="start"/>
        <w:rPr>
          <w:lang w:val="nl-NL"/>
        </w:rPr>
      </w:pPr>
      <w:r>
        <w:rPr>
          <w:lang w:val="nl-NL"/>
        </w:rPr>
        <w:t>Orgelnummer 282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1. 1885</w:t>
      </w:r>
    </w:p>
    <w:p>
      <w:pPr>
        <w:pStyle w:val="T1"/>
        <w:jc w:val="start"/>
        <w:rPr>
          <w:lang w:val="nl-NL"/>
        </w:rPr>
      </w:pPr>
      <w:r>
        <w:rPr>
          <w:lang w:val="nl-NL"/>
        </w:rPr>
        <w:t>2. 1930</w:t>
      </w:r>
    </w:p>
    <w:p>
      <w:pPr>
        <w:pStyle w:val="T1"/>
        <w:jc w:val="start"/>
        <w:rPr>
          <w:lang w:val="nl-NL"/>
        </w:rPr>
      </w:pPr>
      <w:r>
        <w:rPr>
          <w:lang w:val="nl-NL"/>
        </w:rPr>
      </w:r>
    </w:p>
    <w:p>
      <w:pPr>
        <w:pStyle w:val="T1"/>
        <w:jc w:val="start"/>
        <w:rPr>
          <w:lang w:val="nl-NL"/>
        </w:rPr>
      </w:pPr>
      <w:r>
        <w:rPr>
          <w:lang w:val="nl-NL"/>
        </w:rPr>
        <w:t>Bakker &amp; Timmenga 1906</w:t>
      </w:r>
    </w:p>
    <w:p>
      <w:pPr>
        <w:pStyle w:val="T1"/>
        <w:jc w:val="start"/>
        <w:rPr>
          <w:lang w:val="nl-NL"/>
        </w:rPr>
      </w:pPr>
      <w:r>
        <w:rPr>
          <w:lang w:val="nl-NL"/>
        </w:rPr>
        <w:t>.</w:t>
        <w:tab/>
        <w:t>enkele frontpijpen hersteld</w:t>
      </w:r>
    </w:p>
    <w:p>
      <w:pPr>
        <w:pStyle w:val="T1"/>
        <w:jc w:val="start"/>
        <w:rPr>
          <w:lang w:val="nl-NL"/>
        </w:rPr>
      </w:pPr>
      <w:r>
        <w:rPr>
          <w:lang w:val="nl-NL"/>
        </w:rPr>
      </w:r>
    </w:p>
    <w:p>
      <w:pPr>
        <w:pStyle w:val="T1"/>
        <w:jc w:val="start"/>
        <w:rPr>
          <w:lang w:val="nl-NL"/>
        </w:rPr>
      </w:pPr>
      <w:r>
        <w:rPr>
          <w:lang w:val="nl-NL"/>
        </w:rPr>
        <w:t>Bakker &amp; Timmenga 1912</w:t>
      </w:r>
    </w:p>
    <w:p>
      <w:pPr>
        <w:pStyle w:val="T1"/>
        <w:jc w:val="start"/>
        <w:rPr>
          <w:lang w:val="nl-NL"/>
        </w:rPr>
      </w:pPr>
      <w:r>
        <w:rPr>
          <w:lang w:val="nl-NL"/>
        </w:rPr>
        <w:t>.</w:t>
        <w:tab/>
        <w:t>schoonmaak, frontpijpen gepolijst</w:t>
      </w:r>
    </w:p>
    <w:p>
      <w:pPr>
        <w:pStyle w:val="T1"/>
        <w:jc w:val="start"/>
        <w:rPr>
          <w:lang w:val="nl-NL"/>
        </w:rPr>
      </w:pPr>
      <w:r>
        <w:rPr>
          <w:lang w:val="nl-NL"/>
        </w:rPr>
      </w:r>
    </w:p>
    <w:p>
      <w:pPr>
        <w:pStyle w:val="T1"/>
        <w:jc w:val="start"/>
        <w:rPr>
          <w:lang w:val="nl-NL"/>
        </w:rPr>
      </w:pPr>
      <w:r>
        <w:rPr>
          <w:lang w:val="nl-NL"/>
        </w:rPr>
        <w:t>Bakker &amp; Timmenga 1930</w:t>
      </w:r>
    </w:p>
    <w:p>
      <w:pPr>
        <w:pStyle w:val="T1"/>
        <w:jc w:val="start"/>
        <w:rPr>
          <w:lang w:val="nl-NL"/>
        </w:rPr>
      </w:pPr>
      <w:r>
        <w:rPr>
          <w:lang w:val="nl-NL"/>
        </w:rPr>
        <w:t>.</w:t>
        <w:tab/>
        <w:t>schoonmaak, frontpijpen gepolijst</w:t>
      </w:r>
    </w:p>
    <w:p>
      <w:pPr>
        <w:pStyle w:val="T1"/>
        <w:jc w:val="start"/>
        <w:rPr>
          <w:lang w:val="nl-NL"/>
        </w:rPr>
      </w:pPr>
      <w:r>
        <w:rPr>
          <w:lang w:val="nl-NL"/>
        </w:rPr>
        <w:t>.</w:t>
        <w:tab/>
        <w:t xml:space="preserve">speelmechanieken hersteld, registermechaniek gewijzigd; </w:t>
      </w:r>
    </w:p>
    <w:p>
      <w:pPr>
        <w:pStyle w:val="T1"/>
        <w:jc w:val="start"/>
        <w:rPr>
          <w:lang w:val="nl-NL"/>
        </w:rPr>
      </w:pPr>
      <w:r>
        <w:rPr>
          <w:lang w:val="nl-NL"/>
        </w:rPr>
        <w:t>.</w:t>
        <w:tab/>
        <w:t>Bourdon 16' vrij speelbaar gemaakt op Ped; walsbord omgebouwd tot pedaalkoppel</w:t>
      </w:r>
    </w:p>
    <w:p>
      <w:pPr>
        <w:pStyle w:val="T1"/>
        <w:jc w:val="start"/>
        <w:rPr>
          <w:lang w:val="nl-NL"/>
        </w:rPr>
      </w:pPr>
      <w:r>
        <w:rPr>
          <w:lang w:val="nl-NL"/>
        </w:rPr>
        <w:t>.</w:t>
        <w:tab/>
        <w:t>Man - Quint 3', + Aeoline 8'</w:t>
      </w:r>
    </w:p>
    <w:p>
      <w:pPr>
        <w:pStyle w:val="T1"/>
        <w:jc w:val="start"/>
        <w:rPr>
          <w:lang w:val="nl-NL"/>
        </w:rPr>
      </w:pPr>
      <w:r>
        <w:rPr>
          <w:lang w:val="nl-NL"/>
        </w:rPr>
      </w:r>
    </w:p>
    <w:p>
      <w:pPr>
        <w:pStyle w:val="T1"/>
        <w:jc w:val="start"/>
        <w:rPr>
          <w:lang w:val="nl-NL"/>
        </w:rPr>
      </w:pPr>
      <w:r>
        <w:rPr>
          <w:lang w:val="nl-NL"/>
        </w:rPr>
        <w:t>Bakker &amp; Timmenga 1937</w:t>
      </w:r>
    </w:p>
    <w:p>
      <w:pPr>
        <w:pStyle w:val="T1"/>
        <w:jc w:val="start"/>
        <w:rPr>
          <w:lang w:val="nl-NL"/>
        </w:rPr>
      </w:pPr>
      <w:r>
        <w:rPr>
          <w:lang w:val="nl-NL"/>
        </w:rPr>
        <w:t>.</w:t>
        <w:tab/>
        <w:t>balg, kanalen en afsluitingen hersteld</w:t>
      </w:r>
    </w:p>
    <w:p>
      <w:pPr>
        <w:pStyle w:val="T1"/>
        <w:jc w:val="start"/>
        <w:rPr>
          <w:lang w:val="nl-NL"/>
        </w:rPr>
      </w:pPr>
      <w:r>
        <w:rPr>
          <w:lang w:val="nl-NL"/>
        </w:rPr>
        <w:t>.</w:t>
        <w:tab/>
        <w:t>voorslagen windlade beleerd; roosters verstevigd</w:t>
      </w:r>
    </w:p>
    <w:p>
      <w:pPr>
        <w:pStyle w:val="T1"/>
        <w:jc w:val="start"/>
        <w:rPr>
          <w:lang w:val="nl-NL"/>
        </w:rPr>
      </w:pPr>
      <w:r>
        <w:rPr>
          <w:lang w:val="nl-NL"/>
        </w:rPr>
        <w:t>.</w:t>
        <w:tab/>
        <w:t>houten pijpen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lang w:val="nl-NL"/>
              </w:rPr>
            </w:pPr>
            <w:r>
              <w:rPr>
                <w:i/>
                <w:iCs/>
                <w:lang w:val="nl-NL"/>
              </w:rPr>
              <w:t>Manuaal</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Aeoline</w:t>
            </w:r>
          </w:p>
          <w:p>
            <w:pPr>
              <w:pStyle w:val="T4dispositie"/>
              <w:rPr>
                <w:lang w:val="nl-NL"/>
              </w:rPr>
            </w:pPr>
            <w:r>
              <w:rPr>
                <w:lang w:val="nl-NL"/>
              </w:rPr>
              <w:t>Octaaf</w:t>
            </w:r>
          </w:p>
          <w:p>
            <w:pPr>
              <w:pStyle w:val="T4dispositie"/>
              <w:rPr>
                <w:lang w:val="nl-NL"/>
              </w:rPr>
            </w:pPr>
            <w:r>
              <w:rPr>
                <w:lang w:val="nl-NL"/>
              </w:rPr>
              <w:t>Viola</w:t>
            </w:r>
          </w:p>
          <w:p>
            <w:pPr>
              <w:pStyle w:val="T4dispositie"/>
              <w:rPr>
                <w:lang w:val="nl-NL"/>
              </w:rPr>
            </w:pPr>
            <w:r>
              <w:rPr>
                <w:lang w:val="nl-NL"/>
              </w:rPr>
              <w:t>Fluit Harmoniek</w:t>
            </w:r>
          </w:p>
          <w:p>
            <w:pPr>
              <w:pStyle w:val="T4dispositie"/>
              <w:rPr>
                <w:lang w:val="nl-NL"/>
              </w:rPr>
            </w:pPr>
            <w:r>
              <w:rPr>
                <w:lang w:val="nl-NL"/>
              </w:rPr>
              <w:t>Woudfluit</w:t>
            </w:r>
          </w:p>
          <w:p>
            <w:pPr>
              <w:pStyle w:val="T4dispositie"/>
              <w:rPr>
                <w:lang w:val="nl-NL"/>
              </w:rPr>
            </w:pPr>
            <w:r>
              <w:rPr>
                <w:lang w:val="nl-NL"/>
              </w:rPr>
              <w:t>Cornet D</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c>
          <w:tcPr>
            <w:tcW w:w="1690"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afsluitingen Combinatie I en II</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(1885)</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orgel heeft twee afzonderlijke windladen, op dezelfde hoogte achter elkaar geplaatst, gescheiden door een stemgang. Beide laden kunnen door middel van combinatietreden worden in- en uitgeschakeld.</w:t>
      </w:r>
    </w:p>
    <w:p>
      <w:pPr>
        <w:pStyle w:val="T1"/>
        <w:jc w:val="start"/>
        <w:rPr>
          <w:lang w:val="nl-NL"/>
        </w:rPr>
      </w:pPr>
      <w:r>
        <w:rPr>
          <w:lang w:val="nl-NL"/>
        </w:rPr>
        <w:t>De registervolgorde is; voorste lade, vanaf front gerekend: Prestant 8', Viola di Gamba 8', Roerfluit 8', Viola 4', Fluit Harmoniek 4'. Achterste lade, vanaf achterwand gerekend: Bourdon 16', Holpijp 8', Octaaf 4', Aeoline 8', Woudfluit 2', Cornet.</w:t>
      </w:r>
    </w:p>
    <w:p>
      <w:pPr>
        <w:pStyle w:val="T1"/>
        <w:jc w:val="start"/>
        <w:rPr/>
      </w:pPr>
      <w:r>
        <w:rPr>
          <w:lang w:val="nl-NL"/>
        </w:rPr>
        <w:t>Bij de wijzigingen van 1930 is de vervoerstok voor C-h van de Bourdon 16', waarop deze pijpen tegen de achterwand waren geplaatst, vervangen door een pneumatische lade voor C-c</w:t>
      </w:r>
      <w:r>
        <w:rPr>
          <w:vertAlign w:val="superscript"/>
          <w:lang w:val="nl-NL"/>
        </w:rPr>
        <w:t>1</w:t>
      </w:r>
      <w:r>
        <w:rPr>
          <w:lang w:val="nl-NL"/>
        </w:rPr>
        <w:t xml:space="preserve"> met een transmissie voor het Ped. De metalen pijp voor c</w:t>
      </w:r>
      <w:r>
        <w:rPr>
          <w:vertAlign w:val="superscript"/>
          <w:lang w:val="nl-NL"/>
        </w:rPr>
        <w:t>1</w:t>
      </w:r>
      <w:r>
        <w:rPr>
          <w:lang w:val="nl-NL"/>
        </w:rPr>
        <w:t xml:space="preserve"> die oorspronkelijk op de lade stond, is toen ook op de pneumatische lade geplaatst.</w:t>
      </w:r>
    </w:p>
    <w:p>
      <w:pPr>
        <w:pStyle w:val="T1"/>
        <w:jc w:val="start"/>
        <w:rPr>
          <w:lang w:val="nl-NL"/>
        </w:rPr>
      </w:pPr>
      <w:r>
        <w:rPr>
          <w:lang w:val="nl-NL"/>
        </w:rPr>
        <w:t>Het handklavier is een eiken balansklavier. De registerknoppen zijn horizontaal boven de lessenaar geplaatst, in twee groepen, corresponderend met de twee laden, zodat het registermechaniek vrijwel rechtstreeks met de slepen kon worden verbonden. De knoppen hebben witte porseleinen plaatjes met registernamen in schuinschrift.</w:t>
      </w:r>
    </w:p>
    <w:p>
      <w:pPr>
        <w:pStyle w:val="T1"/>
        <w:jc w:val="start"/>
        <w:rPr>
          <w:lang w:val="nl-NL"/>
        </w:rPr>
      </w:pPr>
      <w:r>
        <w:rPr>
          <w:lang w:val="nl-NL"/>
        </w:rPr>
        <w:t>De wijziging van het registermechaniek hield in dat de knoppen enkele centimeters lager werden geplaatst. In dat kader werd, mede om de lege, oorspronkelijke registergaten aan het zicht te onttrekken, een groot eiken registerbord op de zijwand van de kas aangebracht. De registerknop voor de Bourdon 16' (Ped) bevindt zich nu naast de Tremulant. Binnen in de kas blijkt dat op die plaats altijd een registerknop is geweest. Dit moet de knop van het ventiel zijn geweest, waarvoor nu rechts van het klavier een knop is aangebracht met een afwijkend porseleinen plaatje.</w:t>
      </w:r>
    </w:p>
    <w:p>
      <w:pPr>
        <w:pStyle w:val="T1"/>
        <w:jc w:val="start"/>
        <w:rPr>
          <w:lang w:val="nl-NL"/>
        </w:rPr>
      </w:pPr>
      <w:r>
        <w:rPr>
          <w:lang w:val="nl-NL"/>
        </w:rPr>
        <w:t>De balg bevindt zich in de onderkas. De met de combinatietreden verbonden afsluitingen zijn in het korte horizontale kanaaldeel direct naast de laden aangebracht.</w:t>
      </w:r>
    </w:p>
    <w:p>
      <w:pPr>
        <w:pStyle w:val="T1"/>
        <w:jc w:val="start"/>
        <w:rPr/>
      </w:pPr>
      <w:r>
        <w:rPr>
          <w:lang w:val="nl-NL"/>
        </w:rPr>
        <w:t>De laden zijn van eiken en hebben elk drie opliggende voorslagen. De cancelvolgorde van beide laden is: f cis A G H dis g / f</w:t>
      </w:r>
      <w:r>
        <w:rPr>
          <w:vertAlign w:val="superscript"/>
          <w:lang w:val="nl-NL"/>
        </w:rPr>
        <w:t>3</w:t>
      </w:r>
      <w:r>
        <w:rPr>
          <w:lang w:val="nl-NL"/>
        </w:rPr>
        <w:t xml:space="preserve"> - a / F Dis Cis C D E Fis / b - e</w:t>
      </w:r>
      <w:r>
        <w:rPr>
          <w:vertAlign w:val="superscript"/>
          <w:lang w:val="nl-NL"/>
        </w:rPr>
        <w:t>3</w:t>
      </w:r>
      <w:r>
        <w:rPr>
          <w:lang w:val="nl-NL"/>
        </w:rPr>
        <w:t>/ gis e c Gis B d fis.</w:t>
      </w:r>
    </w:p>
    <w:p>
      <w:pPr>
        <w:pStyle w:val="T1"/>
        <w:jc w:val="start"/>
        <w:rPr/>
      </w:pPr>
      <w:r>
        <w:rPr>
          <w:lang w:val="nl-NL"/>
        </w:rPr>
        <w:t>In het front spreken C-fis</w:t>
      </w:r>
      <w:r>
        <w:rPr>
          <w:vertAlign w:val="superscript"/>
          <w:lang w:val="nl-NL"/>
        </w:rPr>
        <w:t>1</w:t>
      </w:r>
      <w:r>
        <w:rPr>
          <w:lang w:val="nl-NL"/>
        </w:rPr>
        <w:t xml:space="preserve"> van de Prestant 8', in de drie torens 21 pijpen en in de onderste tussenvelden aan weerskanten de vijf aan de middentoren grenzende pijpen. Alle overige frontpijpen zijn stom.</w:t>
      </w:r>
    </w:p>
    <w:p>
      <w:pPr>
        <w:pStyle w:val="T1"/>
        <w:jc w:val="start"/>
        <w:rPr/>
      </w:pPr>
      <w:r>
        <w:rPr>
          <w:lang w:val="nl-NL"/>
        </w:rPr>
        <w:t>Eiken pijpen worden aangetroffen in de Bourdon 16' (C-h), de Roerfluit 8' (C-H) en de Holpijp 8' (C-H). De Viola di Gamba 8' is Van C-H gecombineerd met de Roerfluit 8’. De bas van de in 1930 geplaatste Aeoline 8' is van zink; C-H voorzien van houten rolbaarden, c-h voorzien van freins, de discant van metaal met geperste labia. Het register is thans zwevend gestemd tegen de Viola di Gamba 8'. De Fluit Harmoniek 4' begint als roerfluit (C-f), gaat verder als open fluit (fis-fis</w:t>
      </w:r>
      <w:r>
        <w:rPr>
          <w:vertAlign w:val="superscript"/>
          <w:lang w:val="nl-NL"/>
        </w:rPr>
        <w:t>1</w:t>
      </w:r>
      <w:r>
        <w:rPr>
          <w:lang w:val="nl-NL"/>
        </w:rPr>
        <w:t>) en is verder overblazend. De Woudfluit 2' is open, cilindrisch; alle Cornetkoren zijn eveneens open, cilindrisch.</w:t>
      </w:r>
    </w:p>
    <w:p>
      <w:pPr>
        <w:pStyle w:val="T1"/>
        <w:jc w:val="start"/>
        <w:rPr/>
      </w:pPr>
      <w:r>
        <w:rPr>
          <w:lang w:val="nl-NL"/>
        </w:rPr>
        <w:t>Alle pijpwerk van 1885 is gemaakt met spits geritste labia. Expressions zijn toegepast bij de binnenpijpen van de Prestant 8', alle pijpen van Viola di Gamba en Aeoline en verder bij de Octaaf 4' en de Viola 4' (beide C-f</w:t>
      </w:r>
      <w:r>
        <w:rPr>
          <w:vertAlign w:val="superscript"/>
          <w:lang w:val="nl-NL"/>
        </w:rPr>
        <w:t>2</w:t>
      </w:r>
      <w:r>
        <w:rPr>
          <w:lang w:val="nl-NL"/>
        </w:rPr>
        <w:t>). Stemkrullen (vanaf de bovenrand ingesneden) zijn aangebracht bij de Fluit Harmoniek 4' (vanaf fis), de Woudfluit 2' (C-f</w:t>
      </w:r>
      <w:r>
        <w:rPr>
          <w:vertAlign w:val="superscript"/>
          <w:lang w:val="nl-NL"/>
        </w:rPr>
        <w:t>1</w:t>
      </w:r>
      <w:r>
        <w:rPr>
          <w:lang w:val="nl-NL"/>
        </w:rPr>
        <w:t>) en de Cornet (4' tot en met gis², 2 2/3' tot en met cis</w:t>
      </w:r>
      <w:r>
        <w:rPr>
          <w:vertAlign w:val="superscript"/>
          <w:lang w:val="nl-NL"/>
        </w:rPr>
        <w:t>2</w:t>
      </w:r>
      <w:r>
        <w:rPr>
          <w:lang w:val="nl-NL"/>
        </w:rPr>
        <w:t>, 1 3/5’ tot en met 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2006-04-25T14:11:00Z</dcterms:created>
  <dc:creator>WS1</dc:creator>
  <dc:description/>
  <dc:language>en-US</dc:language>
  <cp:lastModifiedBy>WS1</cp:lastModifiedBy>
  <dcterms:modified xsi:type="dcterms:W3CDTF">2006-04-25T14:11:00Z</dcterms:modified>
  <cp:revision>2</cp:revision>
  <dc:subject/>
  <dc:title>Veessen / 1882</dc:title>
</cp:coreProperties>
</file>