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Oosterblokker / 1885</w:t>
      </w:r>
    </w:p>
    <w:p>
      <w:pPr>
        <w:pStyle w:val="Heading2"/>
        <w:rPr>
          <w:i w:val="false"/>
          <w:i w:val="false"/>
          <w:iCs/>
        </w:rPr>
      </w:pPr>
      <w:r>
        <w:rPr>
          <w:i w:val="false"/>
          <w:iCs/>
        </w:rPr>
        <w:t>Cultureel Centrum Pancratius (Voormalige Hervormde Pancratiuskerk)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bakstenen kruiskerk met slanke westtoren, gebouwd in de 15e en 16e eeuw. Transeptgevels met getraceerde blindnissen. Inwendig houten tongewelven. Preekstoel uit 1661. Sinds 1989 in gebruik als cultureel centrum Pancratius. Voor dit doel is in het schip een verdieping aangebracht.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Friedrich Leichel had reeds enige keren een orgel gebouwd met een onderpositief, maar afgezien van het orgel in Heino, dat voor een groot deel een werkstuk is van H. Haffmans (1869), werd het positief in het front niet aangeduid (deel 1865-1872, 231-234). In het orgel te Oosterblokker deed hij dat voor het eerst wel.</w:t>
      </w:r>
    </w:p>
    <w:p>
      <w:pPr>
        <w:pStyle w:val="T2Kunst"/>
        <w:jc w:val="start"/>
        <w:rPr>
          <w:lang w:val="nl-NL"/>
        </w:rPr>
      </w:pPr>
      <w:r>
        <w:rPr>
          <w:lang w:val="nl-NL"/>
        </w:rPr>
        <w:t>Het hoofdwerkfront van dit orgel vertoont grote overeenkomsten met dat van het in 1870 gebouwde orgel voor het Gelderse Laren dat zich thans in de Hervormde Kerk te Ommeren bevindt (deel 1865-1872, 293-295). Wij zien een vijfdelige opbouw van drie ronde torens en vlakke ongedeelde tussenvelden met verhoogde frontstokken en horizontale bovenlijsten.</w:t>
      </w:r>
    </w:p>
    <w:p>
      <w:pPr>
        <w:pStyle w:val="T2Kunst"/>
        <w:jc w:val="start"/>
        <w:rPr>
          <w:lang w:val="nl-NL"/>
        </w:rPr>
      </w:pPr>
      <w:r>
        <w:rPr>
          <w:lang w:val="nl-NL"/>
        </w:rPr>
        <w:t>Het onderpositief is ook driedelig. De opbouw contrasteert met die van het hoofdwerk: de middentoren is hier verlaagd ten opzichte van de zijtorens en de tussenvelden worden hier accolade-vormig afgesloten.</w:t>
      </w:r>
    </w:p>
    <w:p>
      <w:pPr>
        <w:pStyle w:val="T2Kunst"/>
        <w:jc w:val="start"/>
        <w:rPr>
          <w:lang w:val="nl-NL"/>
        </w:rPr>
      </w:pPr>
      <w:r>
        <w:rPr>
          <w:lang w:val="nl-NL"/>
        </w:rPr>
        <w:t>De ornamentiek biedt een staalkaart van neoclassicistische elementen. Evenals in Ommeren zijn bij het hoofdwerk de zijstijlen van de torens getransformeerd tot zuilen met composietkapitelen, in hun benedendeel gecanneleerd en daarboven voorzien van een spiraalvormige decoratie. Blinderingen aan de pijpvoeten ontbreken. De torenblinderingen bestaan uit ranken die zich splitsen en bij een gestileerd plantaardig element in het midden samenkomen. De vormen zijn verwant aan die te Ommeren en ook aan Augustinusga (1883) en Kootstertille (1884), maar iets gecompliceerder. Ook de torenkappen zijn verwant aan die in Ommeren, maar rijker. Eerst komt een fries met vierpasdecoratie, te vergelijken met Ommeren, waar de versierselen een ruitvorm hebben. Daarboven ziet men een vrij rijke profilering die in Ommeren ontbreekt. Dan volgen een tandlijst en een uitkragende kroonlijst met modillons, alles ongeveer zoals in Ommeren. Opvallend is dat de torenkappen zeer sterk uitkragen. De bekroningen van Ommeren, met reeksen palmetten, zijn hier vervangen door één palmetachtig motief dat wordt geflankeerd door twee S-voluten waarin een krakelingvormige C-voluut is opgenomen.</w:t>
      </w:r>
    </w:p>
    <w:p>
      <w:pPr>
        <w:pStyle w:val="T2Kunst"/>
        <w:jc w:val="start"/>
        <w:rPr>
          <w:lang w:val="nl-NL"/>
        </w:rPr>
      </w:pPr>
      <w:r>
        <w:rPr>
          <w:lang w:val="nl-NL"/>
        </w:rPr>
        <w:t>Een eenvoudiger versie van deze bekroning, zonder de krakeling, is te vinden boven de tussenvelden. De bovenblinderingen in de velden bestaan uit gekoppelde S-voluten; zij zijn nauw verwant aan die in Ommeren, maar de onderdelen zijn iets anders geplaatst. Ook de bovenlijsten wijken enigszins af. In Ommeren is daar een smal onversierd fries te zien, in Oosterblokker is het fries breder en versierd met vierbladige elementen en dan pas volgt de tandlijst.</w:t>
      </w:r>
    </w:p>
    <w:p>
      <w:pPr>
        <w:pStyle w:val="T2Kunst"/>
        <w:jc w:val="start"/>
        <w:rPr>
          <w:lang w:val="nl-NL"/>
        </w:rPr>
      </w:pPr>
      <w:r>
        <w:rPr>
          <w:lang w:val="nl-NL"/>
        </w:rPr>
        <w:t>In de panelen onder de verhoogde frontstokken is een liggend bladmotief te zien dat in een staande versie in de onderkas terugkeert. In de torenvoeten vindt men hetzelfde plantaardige motief als in de torenkappen. Eronder zijn drie S-vormige consoles aangebracht.</w:t>
      </w:r>
    </w:p>
    <w:p>
      <w:pPr>
        <w:pStyle w:val="T2Kunst"/>
        <w:jc w:val="start"/>
        <w:rPr>
          <w:lang w:val="nl-NL"/>
        </w:rPr>
      </w:pPr>
      <w:r>
        <w:rPr>
          <w:lang w:val="nl-NL"/>
        </w:rPr>
        <w:t>Het onderpositief heeft ongeveer dezelfde decoratie als het hoofdwerk, maar in iets eenvoudiger vormen. Zo zijn de torenstijlen niet in zuilen veranderd en ontbreken in de torenkappen de tandlijsten. De blinderingen in de torens zijn vrijwel identiek aan die van het hoofdwerk, evenals de bekroningen van de torens en de consoles daaronder. Opmerkelijk is de bovenafsluiting van de tussenvelden: een gevlochten stengel, omwonden door bladeren, waarbij zich beneden een vegetatief element aansluit dat enigszins herinnert aan een ionische voluut. Vergelijkbare gevlochten stengels vormen ook de vleugelstukken van het onderpositief, hier gebruikt op een manier die herinnert aan het werk van Pereboom &amp; Leijser.</w:t>
      </w:r>
    </w:p>
    <w:p>
      <w:pPr>
        <w:pStyle w:val="T2Kunst"/>
        <w:jc w:val="start"/>
        <w:rPr>
          <w:lang w:val="nl-NL"/>
        </w:rPr>
      </w:pPr>
      <w:r>
        <w:rPr>
          <w:lang w:val="nl-NL"/>
        </w:rPr>
        <w:t>De vleugelstukken die vanaf het hoofdwerk doorlopen langs een deel van de onderkas, zijn zeer rijk. Ze bestaan uit een reeks S-ranken met daarin C-voluten, beneden op de borstwering eindigend in een weelderige bebladerde krul.</w:t>
      </w:r>
    </w:p>
    <w:p>
      <w:pPr>
        <w:pStyle w:val="T2Kunst"/>
        <w:jc w:val="start"/>
        <w:rPr>
          <w:lang w:val="nl-NL"/>
        </w:rPr>
      </w:pPr>
      <w:r>
        <w:rPr>
          <w:lang w:val="nl-NL"/>
        </w:rPr>
        <w:t>In het orgel van de Hervormde Kerk in Twisk (1890) van Friedrich Leichel en zijn zoon Heinrich zullen verschillende elementen van dit frontontwerp terugkeren. Een zichtbaar onderpositief komt in het werk van dit huis verder alleen nog maar voor in de Hervormde Kerk te Wognum (1892).</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Kerkelijke Courant</w:t>
      </w:r>
      <w:r>
        <w:rPr>
          <w:lang w:val="nl-NL"/>
        </w:rPr>
        <w:t>, ../.. (1885).</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Flentrop Orgelbouw.</w:t>
      </w:r>
    </w:p>
    <w:p>
      <w:pPr>
        <w:pStyle w:val="T3Lit"/>
        <w:rPr>
          <w:lang w:val="nl-NL"/>
        </w:rPr>
      </w:pPr>
      <w:r>
        <w:rPr>
          <w:lang w:val="nl-NL"/>
        </w:rPr>
        <w:t>Archiefdienst Westfriese Gemeenten, Hoorn, archief Hervormde Gemeente Blokker.</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 Leichel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frontpijpen OP verdwenen</w:t>
      </w:r>
    </w:p>
    <w:p>
      <w:pPr>
        <w:pStyle w:val="T1"/>
        <w:jc w:val="start"/>
        <w:rPr>
          <w:lang w:val="nl-NL"/>
        </w:rPr>
      </w:pPr>
      <w:r>
        <w:rPr>
          <w:lang w:val="nl-NL"/>
        </w:rPr>
      </w:r>
    </w:p>
    <w:p>
      <w:pPr>
        <w:pStyle w:val="T1"/>
        <w:jc w:val="start"/>
        <w:rPr>
          <w:lang w:val="nl-NL"/>
        </w:rPr>
      </w:pPr>
      <w:r>
        <w:rPr>
          <w:lang w:val="nl-NL"/>
        </w:rPr>
        <w:t>1989</w:t>
      </w:r>
    </w:p>
    <w:p>
      <w:pPr>
        <w:pStyle w:val="T1"/>
        <w:jc w:val="start"/>
        <w:rPr>
          <w:lang w:val="nl-NL"/>
        </w:rPr>
      </w:pPr>
      <w:r>
        <w:rPr>
          <w:lang w:val="nl-NL"/>
        </w:rPr>
        <w:t>.</w:t>
        <w:tab/>
        <w:t>kerk ingericht als cultureel centrum</w:t>
      </w:r>
    </w:p>
    <w:p>
      <w:pPr>
        <w:pStyle w:val="T1"/>
        <w:jc w:val="start"/>
        <w:rPr>
          <w:lang w:val="nl-NL"/>
        </w:rPr>
      </w:pPr>
      <w:r>
        <w:rPr>
          <w:lang w:val="nl-NL"/>
        </w:rPr>
        <w:t>.</w:t>
        <w:tab/>
        <w:t>orgel in eigen beheer gedemonteerd</w:t>
      </w:r>
    </w:p>
    <w:p>
      <w:pPr>
        <w:pStyle w:val="T1"/>
        <w:jc w:val="start"/>
        <w:rPr>
          <w:lang w:val="nl-NL"/>
        </w:rPr>
      </w:pPr>
      <w:r>
        <w:rPr>
          <w:lang w:val="nl-NL"/>
        </w:rPr>
        <w:t>.</w:t>
        <w:tab/>
        <w:t>kas geplaatst in boog tussen schip en viering; binnenwerk opgeslagen</w:t>
      </w:r>
    </w:p>
    <w:p>
      <w:pPr>
        <w:pStyle w:val="T1"/>
        <w:jc w:val="start"/>
        <w:rPr>
          <w:lang w:val="nl-NL"/>
        </w:rPr>
      </w:pPr>
      <w:r>
        <w:rPr>
          <w:lang w:val="nl-NL"/>
        </w:rPr>
      </w:r>
    </w:p>
    <w:p>
      <w:pPr>
        <w:pStyle w:val="T1"/>
        <w:jc w:val="start"/>
        <w:rPr>
          <w:lang w:val="nl-NL"/>
        </w:rPr>
      </w:pPr>
      <w:r>
        <w:rPr>
          <w:lang w:val="nl-NL"/>
        </w:rPr>
        <w:t>Flentrop Orgelbouw 1996</w:t>
      </w:r>
    </w:p>
    <w:p>
      <w:pPr>
        <w:pStyle w:val="T1"/>
        <w:jc w:val="start"/>
        <w:rPr>
          <w:lang w:val="nl-NL"/>
        </w:rPr>
      </w:pPr>
      <w:r>
        <w:rPr>
          <w:lang w:val="nl-NL"/>
        </w:rPr>
        <w:t>.</w:t>
        <w:tab/>
        <w:t>frontpijpen bovenfront gerestaureerd en herplaatst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 xml:space="preserve">Dispositie </w:t>
      </w:r>
    </w:p>
    <w:tbl>
      <w:tblPr>
        <w:tblW w:w="7270" w:type="dxa"/>
        <w:jc w:val="start"/>
        <w:tblInd w:w="-70" w:type="dxa"/>
        <w:tblLayout w:type="fixed"/>
        <w:tblCellMar>
          <w:top w:w="0" w:type="dxa"/>
          <w:start w:w="70" w:type="dxa"/>
          <w:bottom w:w="0" w:type="dxa"/>
          <w:end w:w="70" w:type="dxa"/>
        </w:tblCellMar>
      </w:tblPr>
      <w:tblGrid>
        <w:gridCol w:w="1684"/>
        <w:gridCol w:w="718"/>
        <w:gridCol w:w="2168"/>
        <w:gridCol w:w="540"/>
        <w:gridCol w:w="1260"/>
        <w:gridCol w:w="900"/>
      </w:tblGrid>
      <w:tr>
        <w:trPr/>
        <w:tc>
          <w:tcPr>
            <w:tcW w:w="1684"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4 st.</w:t>
            </w:r>
          </w:p>
          <w:p>
            <w:pPr>
              <w:pStyle w:val="T4dispositie"/>
              <w:rPr>
                <w:lang w:val="nl-NL"/>
              </w:rPr>
            </w:pPr>
            <w:r>
              <w:rPr>
                <w:lang w:val="nl-NL"/>
              </w:rPr>
              <w:t>8'</w:t>
            </w:r>
          </w:p>
        </w:tc>
        <w:tc>
          <w:tcPr>
            <w:tcW w:w="2168" w:type="dxa"/>
            <w:tcBorders/>
          </w:tcPr>
          <w:p>
            <w:pPr>
              <w:pStyle w:val="T4dispositie"/>
              <w:rPr>
                <w:i/>
                <w:i/>
                <w:iCs/>
                <w:lang w:val="nl-NL"/>
              </w:rPr>
            </w:pPr>
            <w:r>
              <w:rPr>
                <w:i/>
                <w:iCs/>
                <w:lang w:val="nl-NL"/>
              </w:rPr>
              <w:t>Onderpositief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Lieflijk Gedekt</w:t>
            </w:r>
          </w:p>
          <w:p>
            <w:pPr>
              <w:pStyle w:val="T4dispositie"/>
              <w:rPr>
                <w:lang w:val="nl-NL"/>
              </w:rPr>
            </w:pPr>
            <w:r>
              <w:rPr>
                <w:lang w:val="nl-NL"/>
              </w:rPr>
              <w:t>Salicionaal</w:t>
            </w:r>
          </w:p>
          <w:p>
            <w:pPr>
              <w:pStyle w:val="T4dispositie"/>
              <w:rPr>
                <w:lang w:val="nl-NL"/>
              </w:rPr>
            </w:pPr>
            <w:r>
              <w:rPr>
                <w:lang w:val="nl-NL"/>
              </w:rPr>
              <w:t>Flute travers</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Basson en Hautbois B/D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Bazuin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2470" w:type="dxa"/>
        <w:jc w:val="start"/>
        <w:tblInd w:w="-70" w:type="dxa"/>
        <w:tblLayout w:type="fixed"/>
        <w:tblCellMar>
          <w:top w:w="0" w:type="dxa"/>
          <w:start w:w="70" w:type="dxa"/>
          <w:bottom w:w="0" w:type="dxa"/>
          <w:end w:w="70" w:type="dxa"/>
        </w:tblCellMar>
      </w:tblPr>
      <w:tblGrid>
        <w:gridCol w:w="1023"/>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29" w:type="dxa"/>
            <w:tcBorders/>
          </w:tcPr>
          <w:p>
            <w:pPr>
              <w:pStyle w:val="T4dispositie"/>
              <w:rPr/>
            </w:pPr>
            <w:r>
              <w:rPr/>
              <w:t>f</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rPr>
        <w:t>g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een regulateur (1885)</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w:t>
      </w:r>
      <w:r>
        <w:rPr>
          <w:lang w:val="nl-NL"/>
        </w:rPr>
        <w:t>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orgel is het eerste orgel in deze kerk. In 1884, toen de kerkvoogdij in overweging had genomen een orgel te doen bouwen, vestigde Lodewijk Ypma de aandacht op het te verkopen orgel van de Oude Lutherse Kerk te Amsterdam. Men gaf echter de voorkeur aan een geheel nieuw instrument.</w:t>
      </w:r>
    </w:p>
    <w:p>
      <w:pPr>
        <w:pStyle w:val="T1"/>
        <w:jc w:val="start"/>
        <w:rPr>
          <w:lang w:val="nl-NL"/>
        </w:rPr>
      </w:pPr>
      <w:r>
        <w:rPr>
          <w:lang w:val="nl-NL"/>
        </w:rPr>
        <w:t>Het orgel bleef in de loop der jaren ongewijzigd, maar heeft door een lange periode van verwaarlozing en ondeskundige demontage veel schade opgelopen. Het binnenwerk is op dit moment nog gedemonteerd en opgeslagen.</w:t>
      </w:r>
    </w:p>
    <w:p>
      <w:pPr>
        <w:pStyle w:val="T1"/>
        <w:jc w:val="start"/>
        <w:rPr>
          <w:lang w:val="nl-NL"/>
        </w:rPr>
      </w:pPr>
      <w:r>
        <w:rPr>
          <w:lang w:val="nl-NL"/>
        </w:rPr>
        <w:t>De orgelkast is van vuren, het snijwerk is van lindenhout.</w:t>
      </w:r>
    </w:p>
    <w:p>
      <w:pPr>
        <w:pStyle w:val="T1"/>
        <w:jc w:val="start"/>
        <w:rPr>
          <w:lang w:val="nl-NL"/>
        </w:rPr>
      </w:pPr>
      <w:r>
        <w:rPr>
          <w:lang w:val="nl-NL"/>
        </w:rPr>
        <w:t>De registertrekkers van de manualen bevinden zich in twee rijen boven de lessenaar; die van het Ped zijn rechts naast de klavieren aangebracht, de werktuiglijke registers links.</w:t>
      </w:r>
    </w:p>
    <w:p>
      <w:pPr>
        <w:pStyle w:val="T1"/>
        <w:jc w:val="start"/>
        <w:rPr>
          <w:lang w:val="nl-NL"/>
        </w:rPr>
      </w:pPr>
      <w:r>
        <w:rPr>
          <w:lang w:val="nl-NL"/>
        </w:rPr>
        <w:t xml:space="preserve">De windvoorziening bevindt zich in de onderkas. </w:t>
      </w:r>
    </w:p>
    <w:p>
      <w:pPr>
        <w:pStyle w:val="T1"/>
        <w:jc w:val="start"/>
        <w:rPr/>
      </w:pPr>
      <w:r>
        <w:rPr>
          <w:lang w:val="nl-NL"/>
        </w:rPr>
        <w:t>De windladen zijn nog origineel. Voor het OP is een chromatisch ingedeelde windlade aanwezig. De in C- en Cis-kant gedeelde windlade van het HW heeft dubbele ventielen voor de tonen C-g. De indeling is als volgt: gis e c Cis B d fis e</w:t>
      </w:r>
      <w:r>
        <w:rPr>
          <w:vertAlign w:val="superscript"/>
          <w:lang w:val="nl-NL"/>
        </w:rPr>
        <w:t>3</w:t>
      </w:r>
      <w:r>
        <w:rPr>
          <w:lang w:val="nl-NL"/>
        </w:rPr>
        <w:t>-b Fis E D C Cis Dis F a-f</w:t>
      </w:r>
      <w:r>
        <w:rPr>
          <w:vertAlign w:val="superscript"/>
          <w:lang w:val="nl-NL"/>
        </w:rPr>
        <w:t>3</w:t>
      </w:r>
      <w:r>
        <w:rPr>
          <w:lang w:val="nl-NL"/>
        </w:rPr>
        <w:t xml:space="preserve"> f cis A G H dis g.</w:t>
      </w:r>
    </w:p>
    <w:p>
      <w:pPr>
        <w:pStyle w:val="T1"/>
        <w:jc w:val="start"/>
        <w:rPr/>
      </w:pPr>
      <w:r>
        <w:rPr>
          <w:lang w:val="nl-NL"/>
        </w:rPr>
        <w:t>Het pijpwerk is nog grotendeels bewaard, met uitzondering van de frontpijpen van het OP en een aantal pijpen in de diverse registers. De Prestant 8' van het HW staat van C-h</w:t>
      </w:r>
      <w:r>
        <w:rPr>
          <w:vertAlign w:val="superscript"/>
          <w:lang w:val="nl-NL"/>
        </w:rPr>
        <w:t>1</w:t>
      </w:r>
      <w:r>
        <w:rPr>
          <w:lang w:val="nl-NL"/>
        </w:rPr>
        <w:t xml:space="preserve"> in het front, het vervolg stond op de lade maar ontbreekt thans. De bas van de Bourdon 16' is van grenen, de discant is van metaal. Ook het groot octaaf van de Holpijp 8' is van grenen. C-H van de Viola di Gamba 8' zijn van grenen met ahorn voorslagen, het vervolg is van metaal (c ontbreekt). De registers Octaaf 4', Quint 3', Octaaf 2' en Mixtuur zijn geheel van metaal. Her en der ontbreekt een aantal pijpen. De Fluit 4' is van C-f</w:t>
      </w:r>
      <w:r>
        <w:rPr>
          <w:vertAlign w:val="superscript"/>
          <w:lang w:val="nl-NL"/>
        </w:rPr>
        <w:t>2</w:t>
      </w:r>
      <w:r>
        <w:rPr>
          <w:lang w:val="nl-NL"/>
        </w:rPr>
        <w:t xml:space="preserve"> gedekt en verder open. De Trompet 8' is van metaal. Een aantal bekers, stevels koppen en kelen is verdwenen.</w:t>
      </w:r>
    </w:p>
    <w:p>
      <w:pPr>
        <w:pStyle w:val="T1"/>
        <w:jc w:val="start"/>
        <w:rPr/>
      </w:pPr>
      <w:r>
        <w:rPr>
          <w:lang w:val="nl-NL"/>
        </w:rPr>
        <w:t>Het groot octaaf van de Prestant 8' OP is van grenen; c-g</w:t>
      </w:r>
      <w:r>
        <w:rPr>
          <w:vertAlign w:val="superscript"/>
          <w:lang w:val="nl-NL"/>
        </w:rPr>
        <w:t>2</w:t>
      </w:r>
      <w:r>
        <w:rPr>
          <w:lang w:val="nl-NL"/>
        </w:rPr>
        <w:t xml:space="preserve"> stonden in het front (verdwenen), het vervolg stond op de lade. Het groot octaaf van de Gedekt 8' is eveneens van grenen, het vervolg is van metaal; c</w:t>
      </w:r>
      <w:r>
        <w:rPr>
          <w:vertAlign w:val="superscript"/>
          <w:lang w:val="nl-NL"/>
        </w:rPr>
        <w:t>1</w:t>
      </w:r>
      <w:r>
        <w:rPr>
          <w:lang w:val="nl-NL"/>
        </w:rPr>
        <w:t>, f</w:t>
      </w:r>
      <w:r>
        <w:rPr>
          <w:vertAlign w:val="superscript"/>
          <w:lang w:val="nl-NL"/>
        </w:rPr>
        <w:t>1</w:t>
      </w:r>
      <w:r>
        <w:rPr>
          <w:lang w:val="nl-NL"/>
        </w:rPr>
        <w:t xml:space="preserve"> en c</w:t>
      </w:r>
      <w:r>
        <w:rPr>
          <w:vertAlign w:val="superscript"/>
          <w:lang w:val="nl-NL"/>
        </w:rPr>
        <w:t>3</w:t>
      </w:r>
      <w:r>
        <w:rPr>
          <w:lang w:val="nl-NL"/>
        </w:rPr>
        <w:t>-e</w:t>
      </w:r>
      <w:r>
        <w:rPr>
          <w:vertAlign w:val="superscript"/>
          <w:lang w:val="nl-NL"/>
        </w:rPr>
        <w:t>3</w:t>
      </w:r>
      <w:r>
        <w:rPr>
          <w:lang w:val="nl-NL"/>
        </w:rPr>
        <w:t xml:space="preserve"> ontbreken. C-H van de Salicionaal 8' zijn van grenen met eiken voorslagen. Van de metalen pijpen ontbreken er vijf. De Flute travers 8' is geheel van grenen met ahorn voorslagen. De Prestant 4' en de Roerfluit 4' zijn geheel van metaal, maar niet compleet. De Basson B heeft een stevelrepetitie op c. De bekers van de Hautbois D repeteren op c</w:t>
      </w:r>
      <w:r>
        <w:rPr>
          <w:vertAlign w:val="superscript"/>
          <w:lang w:val="nl-NL"/>
        </w:rPr>
        <w:t>1</w:t>
      </w:r>
      <w:r>
        <w:rPr>
          <w:lang w:val="nl-NL"/>
        </w:rPr>
        <w:t xml:space="preserve"> en c</w:t>
      </w:r>
      <w:r>
        <w:rPr>
          <w:vertAlign w:val="superscript"/>
          <w:lang w:val="nl-NL"/>
        </w:rPr>
        <w:t>2</w:t>
      </w:r>
      <w:r>
        <w:rPr>
          <w:lang w:val="nl-NL"/>
        </w:rPr>
        <w:t>. Een aantal bekers ontbreekt.</w:t>
      </w:r>
    </w:p>
    <w:p>
      <w:pPr>
        <w:pStyle w:val="T1"/>
        <w:jc w:val="start"/>
        <w:rPr>
          <w:lang w:val="nl-NL"/>
        </w:rPr>
      </w:pPr>
      <w:r>
        <w:rPr>
          <w:lang w:val="nl-NL"/>
        </w:rPr>
        <w:t>De registers Subbas 16' en Octaafbas 8' zijn van grenen. De doorslaande Bazuin 16' heeft houten stevels en koppen; de bekers waren van zink maar ontbreken nu.</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2006-04-25T14:17:00Z</dcterms:created>
  <dc:creator>WS1</dc:creator>
  <dc:description/>
  <dc:language>en-US</dc:language>
  <cp:lastModifiedBy>WS1</cp:lastModifiedBy>
  <dcterms:modified xsi:type="dcterms:W3CDTF">2006-04-25T14:17:00Z</dcterms:modified>
  <cp:revision>2</cp:revision>
  <dc:subject/>
  <dc:title>Schellinkhout / 1872</dc:title>
</cp:coreProperties>
</file>