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Ammerstol / 1886</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lang w:val="nl-NL"/>
        </w:rPr>
      </w:pPr>
      <w:r>
        <w:rPr>
          <w:i/>
          <w:iCs/>
          <w:lang w:val="nl-NL"/>
        </w:rPr>
        <w:t>Eenbeukige kerk in rondboogstijl met gedeeltelijk ingebouwde toren met spits met frontalen, gebouwd 1880-1881 naar ontwerp van L.J. Redeker. Inwendig gekoofd houten tongewelf op wandconsoles. Preekstoel, herenbank, psalmbord en tekstborden uit de 17e eeuw.</w:t>
      </w:r>
    </w:p>
    <w:p>
      <w:pPr>
        <w:pStyle w:val="T1"/>
        <w:jc w:val="start"/>
        <w:rPr>
          <w:lang w:val="nl-NL"/>
        </w:rPr>
      </w:pPr>
      <w:r>
        <w:rPr>
          <w:lang w:val="nl-NL"/>
        </w:rPr>
      </w:r>
    </w:p>
    <w:p>
      <w:pPr>
        <w:pStyle w:val="T1"/>
        <w:jc w:val="start"/>
        <w:rPr>
          <w:lang w:val="nl-NL"/>
        </w:rPr>
      </w:pPr>
      <w:r>
        <w:rPr>
          <w:lang w:val="nl-NL"/>
        </w:rPr>
        <w:t>Kas: 1886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rijzige variant van het tweetoren type dat teruggaat op het orgel in Oudwoude uit 1856 (deel 1850-1858, 303-304), met een hol middenveld, geflankeerd door twee ronde torens en holle zijvelden. De decoratie lijkt sterk op die van de iets oudere orgels van dit model, zoals dat in Zwaag (1881), maar vertoont toch een paar eigenaardigheden, die de vraag doen rijzen of hier dezelfde hand nog aan het werk was. De gebruikelijke diamantkoppen onder de velden zijn hier achterwege gebleven; er zijn alleen nog rechthoekige of vierkante paneeltjes te zien. In het snijwerk zet nog immer de voluut de toon, maar het er omheen gedrapeerde rankwerk lijkt wat vleziger. Bovendien lijken de voluten meer te worden overwoekerd door het rankwerk. Opvallend is ook dat de voluten aan de pijpvoeten in torens en middenveld zijn voorzien van rococo-achtig schuim, dat in de iets oudere Van Dam-orgels niet is aan te treffen. Aan de pijpuiteinden is dat minder uitgesproken, maar toch ook niet afwezig. De vleugelstukken lijken met hun ruitwerk sterk op die van de oudere instrumenten, maar het enigszins klassiek aandoende fries eronder is een nieuw element.</w:t>
      </w:r>
    </w:p>
    <w:p>
      <w:pPr>
        <w:pStyle w:val="T2Kunst"/>
        <w:jc w:val="start"/>
        <w:rPr>
          <w:lang w:val="nl-NL"/>
        </w:rPr>
      </w:pPr>
      <w:r>
        <w:rPr>
          <w:lang w:val="nl-NL"/>
        </w:rPr>
        <w:t>Men lette dan vooral op de opzetstukken. Boven het middenveld staat, zoals gebruikelijk bij de tweetoren fronten, een lier. Deze is echter rechthoekig geworden, met onderaan twee wat anorganisch aangebrachte C-voluten. De oudere lieren hadden S-vormige armen. De opzetstukken van de torens zijn heel anders dan die van de oudere orgels. In het midden ziet men een druiventros, geflankeerd door een rijk rankwerk, waarin men met enige moeite nog voluutvormen kan herkennen. Bekroond wordt het geheel door een asymmetrisch floraal motief.</w:t>
      </w:r>
    </w:p>
    <w:p>
      <w:pPr>
        <w:pStyle w:val="T2Kunst"/>
        <w:jc w:val="start"/>
        <w:rPr>
          <w:lang w:val="nl-NL"/>
        </w:rPr>
      </w:pPr>
      <w:r>
        <w:rPr>
          <w:lang w:val="nl-NL"/>
        </w:rPr>
        <w:t>De consoles onder de torens vertonen een soort ovale cartouche en wijken daarmee dus af van de consoles in Zuid-Scharwoude, Zwaag en Spijk, met hun wigvormige decoratie.</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Kerkelijke Courant</w:t>
      </w:r>
      <w:r>
        <w:rPr>
          <w:lang w:val="nl-NL"/>
        </w:rPr>
        <w:t>, 40/33 (1886), 2.</w:t>
      </w:r>
    </w:p>
    <w:p>
      <w:pPr>
        <w:pStyle w:val="T3Lit"/>
        <w:jc w:val="start"/>
        <w:rPr>
          <w:rFonts w:eastAsia="Univers;Arial"/>
          <w:lang w:val="nl-NL"/>
        </w:rPr>
      </w:pPr>
      <w:r>
        <w:rPr>
          <w:rFonts w:eastAsia="Univers;Arial"/>
          <w:lang w:val="nl-NL"/>
        </w:rPr>
        <w:t xml:space="preserve"> </w:t>
      </w:r>
    </w:p>
    <w:p>
      <w:pPr>
        <w:pStyle w:val="T3Lit"/>
        <w:jc w:val="start"/>
        <w:rPr>
          <w:lang w:val="nl-NL"/>
        </w:rPr>
      </w:pPr>
      <w:r>
        <w:rPr>
          <w:lang w:val="nl-NL"/>
        </w:rPr>
        <w:t>Monumentnummer 8102</w:t>
      </w:r>
    </w:p>
    <w:p>
      <w:pPr>
        <w:pStyle w:val="T3Lit"/>
        <w:jc w:val="start"/>
        <w:rPr>
          <w:lang w:val="nl-NL"/>
        </w:rPr>
      </w:pPr>
      <w:r>
        <w:rPr>
          <w:lang w:val="nl-NL"/>
        </w:rPr>
        <w:t>Orgelnummer 50</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1886</w:t>
      </w:r>
    </w:p>
    <w:p>
      <w:pPr>
        <w:pStyle w:val="T1"/>
        <w:jc w:val="start"/>
        <w:rPr>
          <w:lang w:val="nl-NL"/>
        </w:rPr>
      </w:pPr>
      <w:r>
        <w:rPr>
          <w:lang w:val="nl-NL"/>
        </w:rPr>
      </w:r>
    </w:p>
    <w:p>
      <w:pPr>
        <w:pStyle w:val="T1"/>
        <w:jc w:val="start"/>
        <w:rPr>
          <w:lang w:val="nl-NL"/>
        </w:rPr>
      </w:pPr>
      <w:r>
        <w:rPr>
          <w:lang w:val="nl-NL"/>
        </w:rPr>
        <w:t>N.D. Slooff 1975</w:t>
      </w:r>
    </w:p>
    <w:p>
      <w:pPr>
        <w:pStyle w:val="T1"/>
        <w:jc w:val="start"/>
        <w:rPr>
          <w:lang w:val="nl-NL"/>
        </w:rPr>
      </w:pPr>
      <w:r>
        <w:rPr>
          <w:lang w:val="nl-NL"/>
        </w:rPr>
        <w:t>.</w:t>
        <w:tab/>
        <w:t>restauratie</w:t>
      </w:r>
    </w:p>
    <w:p>
      <w:pPr>
        <w:pStyle w:val="T1"/>
        <w:jc w:val="start"/>
        <w:rPr>
          <w:lang w:val="nl-NL"/>
        </w:rPr>
      </w:pPr>
      <w:r>
        <w:rPr>
          <w:lang w:val="nl-NL"/>
        </w:rPr>
        <w:t>.</w:t>
        <w:tab/>
        <w:t>windlade van telescoopsysteem voorzien</w:t>
      </w:r>
    </w:p>
    <w:p>
      <w:pPr>
        <w:pStyle w:val="T1"/>
        <w:jc w:val="start"/>
        <w:rPr>
          <w:lang w:val="nl-NL"/>
        </w:rPr>
      </w:pPr>
      <w:r>
        <w:rPr>
          <w:lang w:val="nl-NL"/>
        </w:rPr>
      </w:r>
    </w:p>
    <w:p>
      <w:pPr>
        <w:pStyle w:val="T1"/>
        <w:jc w:val="start"/>
        <w:rPr>
          <w:lang w:val="nl-NL"/>
        </w:rPr>
      </w:pPr>
      <w:r>
        <w:rPr>
          <w:lang w:val="nl-NL"/>
        </w:rPr>
        <w:t>Slooff Orgelbouw 2005</w:t>
      </w:r>
    </w:p>
    <w:p>
      <w:pPr>
        <w:pStyle w:val="T1"/>
        <w:jc w:val="start"/>
        <w:rPr>
          <w:lang w:val="nl-NL"/>
        </w:rPr>
      </w:pPr>
      <w:r>
        <w:rPr>
          <w:lang w:val="nl-NL"/>
        </w:rPr>
        <w:t>.</w:t>
        <w:tab/>
        <w:t>orgel schoonmaakt</w:t>
      </w:r>
    </w:p>
    <w:p>
      <w:pPr>
        <w:pStyle w:val="T1"/>
        <w:jc w:val="start"/>
        <w:rPr>
          <w:lang w:val="nl-NL"/>
        </w:rPr>
      </w:pPr>
      <w:r>
        <w:rPr>
          <w:lang w:val="nl-NL"/>
        </w:rPr>
        <w:t>.</w:t>
        <w:tab/>
        <w:t>magazijnbalg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68" w:type="dxa"/>
        <w:jc w:val="start"/>
        <w:tblInd w:w="-70" w:type="dxa"/>
        <w:tblLayout w:type="fixed"/>
        <w:tblCellMar>
          <w:top w:w="0" w:type="dxa"/>
          <w:start w:w="70" w:type="dxa"/>
          <w:bottom w:w="0" w:type="dxa"/>
          <w:end w:w="70" w:type="dxa"/>
        </w:tblCellMar>
      </w:tblPr>
      <w:tblGrid>
        <w:gridCol w:w="1737"/>
        <w:gridCol w:w="631"/>
      </w:tblGrid>
      <w:tr>
        <w:trPr/>
        <w:tc>
          <w:tcPr>
            <w:tcW w:w="1737" w:type="dxa"/>
            <w:tcBorders/>
          </w:tcPr>
          <w:p>
            <w:pPr>
              <w:pStyle w:val="T4dispositie"/>
              <w:jc w:val="start"/>
              <w:rPr>
                <w:i/>
                <w:i/>
                <w:iCs/>
                <w:lang w:val="nl-NL"/>
              </w:rPr>
            </w:pPr>
            <w:r>
              <w:rPr>
                <w:i/>
                <w:iCs/>
                <w:lang w:val="nl-NL"/>
              </w:rPr>
              <w:t>Manuaal</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Viool de Gambe</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Prestantquint</w:t>
            </w:r>
          </w:p>
          <w:p>
            <w:pPr>
              <w:pStyle w:val="T4dispositie"/>
              <w:jc w:val="start"/>
              <w:rPr>
                <w:lang w:val="nl-NL"/>
              </w:rPr>
            </w:pPr>
            <w:r>
              <w:rPr>
                <w:lang w:val="nl-NL"/>
              </w:rPr>
              <w:t>Superoctaaf</w:t>
            </w:r>
          </w:p>
          <w:p>
            <w:pPr>
              <w:pStyle w:val="T4dispositie"/>
              <w:jc w:val="start"/>
              <w:rPr>
                <w:lang w:val="nl-NL"/>
              </w:rPr>
            </w:pPr>
            <w:r>
              <w:rPr>
                <w:lang w:val="nl-NL"/>
              </w:rPr>
              <w:t>Cornet D</w:t>
            </w:r>
          </w:p>
          <w:p>
            <w:pPr>
              <w:pStyle w:val="T4dispositie"/>
              <w:jc w:val="start"/>
              <w:rPr>
                <w:lang w:val="nl-NL"/>
              </w:rPr>
            </w:pPr>
            <w:r>
              <w:rPr>
                <w:lang w:val="nl-NL"/>
              </w:rPr>
              <w:t>Muette B/D**</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tc>
      </w:tr>
    </w:tbl>
    <w:p>
      <w:pPr>
        <w:pStyle w:val="T4dispositie"/>
        <w:rPr>
          <w:lang w:val="nl-NL"/>
        </w:rPr>
      </w:pPr>
      <w:r>
        <w:rPr>
          <w:lang w:val="nl-NL"/>
        </w:rPr>
      </w:r>
    </w:p>
    <w:p>
      <w:pPr>
        <w:pStyle w:val="T4dispositie"/>
        <w:rPr>
          <w:lang w:val="nl-NL"/>
        </w:rPr>
      </w:pPr>
      <w:r>
        <w:rPr>
          <w:lang w:val="nl-NL"/>
        </w:rPr>
        <w:t>* in werkelijkheid D</w:t>
      </w:r>
    </w:p>
    <w:p>
      <w:pPr>
        <w:pStyle w:val="T4dispositie"/>
        <w:rPr>
          <w:lang w:val="nl-NL"/>
        </w:rPr>
      </w:pPr>
      <w:r>
        <w:rPr>
          <w:lang w:val="nl-NL"/>
        </w:rPr>
        <w:t>** gereserveerde plaats voor Trompet 8'</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windloser</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sz w:val="20"/>
          <w:lang w:val="nl-NL"/>
        </w:rPr>
      </w:pPr>
      <w:r>
        <w:rPr>
          <w:lang w:val="nl-NL"/>
        </w:rPr>
        <w:t xml:space="preserve">Cornet   </w:t>
      </w:r>
      <w:r>
        <w:rPr>
          <w:sz w:val="20"/>
        </w:rPr>
        <w:t>c</w:t>
      </w:r>
      <w:r>
        <w:rPr>
          <w:sz w:val="20"/>
          <w:vertAlign w:val="superscript"/>
        </w:rPr>
        <w:t>1</w:t>
      </w:r>
      <w:r>
        <w:rPr>
          <w:sz w:val="20"/>
        </w:rPr>
        <w:t xml:space="preserve">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C-g</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met windzicht (1886)</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In het front spreken pijpen van de Prestant 8' (C-cis</w:t>
      </w:r>
      <w:r>
        <w:rPr>
          <w:vertAlign w:val="superscript"/>
          <w:lang w:val="nl-NL"/>
        </w:rPr>
        <w:t>1</w:t>
      </w:r>
      <w:r>
        <w:rPr>
          <w:lang w:val="nl-NL"/>
        </w:rPr>
        <w:t xml:space="preserve"> in de torens en het middenveld, met uitzondering van B), en van de Viool de Gambe 8' (c-h, in de buitenste velden).</w:t>
      </w:r>
    </w:p>
    <w:p>
      <w:pPr>
        <w:pStyle w:val="T1"/>
        <w:jc w:val="start"/>
        <w:rPr>
          <w:lang w:val="nl-NL"/>
        </w:rPr>
      </w:pPr>
      <w:r>
        <w:rPr>
          <w:lang w:val="nl-NL"/>
        </w:rPr>
        <w:t>Alle onderdelen van de klaviatuur zijn authentiek. Het handklavier is een eiken staartklavier.</w:t>
      </w:r>
    </w:p>
    <w:p>
      <w:pPr>
        <w:pStyle w:val="T1"/>
        <w:jc w:val="start"/>
        <w:rPr>
          <w:lang w:val="nl-NL"/>
        </w:rPr>
      </w:pPr>
      <w:r>
        <w:rPr>
          <w:lang w:val="nl-NL"/>
        </w:rPr>
        <w:t>De registertrekkers van de sprekende register zijn boven de lessenaar aangebracht, de tremulant links en de windloser rechts van het klavier. De registeropschriften zijn op houten strips geschilderd.</w:t>
      </w:r>
    </w:p>
    <w:p>
      <w:pPr>
        <w:pStyle w:val="T1"/>
        <w:jc w:val="start"/>
        <w:rPr>
          <w:lang w:val="nl-NL"/>
        </w:rPr>
      </w:pPr>
      <w:r>
        <w:rPr>
          <w:lang w:val="nl-NL"/>
        </w:rPr>
        <w:t>De balgpomp met het windzicht bevinden zich in de rechter zijwand. Het windtoestel, een magazijnbalg met daaronder twee schepbalgen, is onder in de orgelkas geplaatst. Het windkanaal is van eiken. In het horizontaal kanaaldeel dat tussen klavier en windlade loopt is de inliggende tremulant geplaatst.</w:t>
      </w:r>
    </w:p>
    <w:p>
      <w:pPr>
        <w:pStyle w:val="T1"/>
        <w:jc w:val="start"/>
        <w:rPr/>
      </w:pPr>
      <w:r>
        <w:rPr>
          <w:lang w:val="nl-NL"/>
        </w:rPr>
        <w:t>De eiken windlade heeft een chromatische cancelvolgorde: C-d g</w:t>
      </w:r>
      <w:r>
        <w:rPr>
          <w:vertAlign w:val="superscript"/>
          <w:lang w:val="nl-NL"/>
        </w:rPr>
        <w:t>3</w:t>
      </w:r>
      <w:r>
        <w:rPr>
          <w:lang w:val="nl-NL"/>
        </w:rPr>
        <w:t>-dis. De ventielkast heeft twee opliggende voorslagen, die elk met drie palmhouten klemmen zijn vastgezet. Voor de Prestant 8' is een kantsleep aanwezig.</w:t>
      </w:r>
    </w:p>
    <w:p>
      <w:pPr>
        <w:pStyle w:val="T1"/>
        <w:jc w:val="start"/>
        <w:rPr/>
      </w:pPr>
      <w:r>
        <w:rPr>
          <w:lang w:val="nl-NL"/>
        </w:rPr>
        <w:t>C-G van de Holpijp 8' zijn van eiken en tegen de rechter zijwand op een vervoerstok geplaatst. De Viool de Gambe 8' is van C-H gecombineerd met de Holpijp 8'; de discant bestaat uit pijpwerk met een hoog tingehalte. Van de Roerfluit 4' zijn de gis</w:t>
      </w:r>
      <w:r>
        <w:rPr>
          <w:vertAlign w:val="superscript"/>
          <w:lang w:val="nl-NL"/>
        </w:rPr>
        <w:t>2</w:t>
      </w:r>
      <w:r>
        <w:rPr>
          <w:lang w:val="nl-NL"/>
        </w:rPr>
        <w:t>-g</w:t>
      </w:r>
      <w:r>
        <w:rPr>
          <w:vertAlign w:val="superscript"/>
          <w:lang w:val="nl-NL"/>
        </w:rPr>
        <w:t>3</w:t>
      </w:r>
      <w:r>
        <w:rPr>
          <w:lang w:val="nl-NL"/>
        </w:rPr>
        <w:t xml:space="preserve"> open, licht conisch.</w:t>
      </w:r>
    </w:p>
    <w:p>
      <w:pPr>
        <w:pStyle w:val="T1"/>
        <w:jc w:val="start"/>
        <w:rPr>
          <w:lang w:val="nl-NL"/>
        </w:rPr>
      </w:pPr>
      <w:r>
        <w:rPr>
          <w:lang w:val="nl-NL"/>
        </w:rPr>
        <w:t>Expressions als steminrichting zijn toegepast bij alle binnenpijpen van Prestant 8' en Viool de Gambe 8', en ook bij de Octaaf 4' (C-h), de Prestantquint 3' (C-e) en de Superoctaaf 2'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spacing w:before="0" w:after="120"/>
    </w:pPr>
    <w:rPr>
      <w:rFonts w:ascii="Times New Roman" w:hAnsi="Times New Roman" w:cs="Times New Roman"/>
      <w:sz w:val="24"/>
    </w:rPr>
  </w:style>
  <w:style w:type="paragraph" w:styleId="List">
    <w:name w:val="List"/>
    <w:basedOn w:val="Normal"/>
    <w:pPr>
      <w:widowControl/>
      <w:ind w:start="283" w:hanging="283"/>
    </w:pPr>
    <w:rPr>
      <w:rFonts w:ascii="Times New Roman" w:hAnsi="Times New Roman" w:cs="Times New Roman"/>
      <w:sz w:val="24"/>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color w:val="00000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2006-05-02T17:26:00Z</dcterms:created>
  <dc:creator>WS1</dc:creator>
  <dc:description/>
  <dc:language>en-US</dc:language>
  <cp:lastModifiedBy>WS1</cp:lastModifiedBy>
  <dcterms:modified xsi:type="dcterms:W3CDTF">2006-05-02T17:26:00Z</dcterms:modified>
  <cp:revision>2</cp:revision>
  <dc:subject/>
  <dc:title>Aalsmeer / ca 1880</dc:title>
</cp:coreProperties>
</file>