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Warmenhuizen / 1886</w:t>
      </w:r>
    </w:p>
    <w:p>
      <w:pPr>
        <w:pStyle w:val="Heading2"/>
        <w:rPr>
          <w:i w:val="false"/>
          <w:i w:val="false"/>
          <w:iCs/>
        </w:rPr>
      </w:pPr>
      <w:r>
        <w:rPr>
          <w:i w:val="false"/>
          <w:iCs/>
        </w:rPr>
        <w:t>R.K. Kerk van de H.H. Ursula en Gezellinnen</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Neoromaanse transeptloze basiliek met frontalen en toren met spits, gebouwd in 1872-1873 naar ontwerp van Th. Asseler. In de middenbeuk roosvensters. Inwendig zware zuilen met gedecoreerde kapitelen. In elke travee twee blindnissen, door zuilen weer in drieën onderverdeeld. In het middenschip een houten tongewelf met bescheiden steekkappen bij de vensters; in koor- en zijbeuken kruisribgewelven in hout en stuc. Van de oorspronkelijke inrichting is slechts weinig overgebleven.</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bijna identiek aan dat van het instrument in de St-Jan te Hoogwoud uit 1873 (deel 1872-1878, 104-106). Opvallende elementen zijn het driehoekige benedendeel van de middenpartij, de beeldnis bij wijze van middentoren en de grote afsluitende boog met frontaal die het middendeel bekroont. Deze elementen hebben beide orgels gemeen evenals een deel van de decoratie. Maar er zijn ook aanzienlijke verschillen.</w:t>
      </w:r>
    </w:p>
    <w:p>
      <w:pPr>
        <w:pStyle w:val="T2Kunst"/>
        <w:jc w:val="start"/>
        <w:rPr>
          <w:lang w:val="nl-NL"/>
        </w:rPr>
      </w:pPr>
      <w:r>
        <w:rPr>
          <w:lang w:val="nl-NL"/>
        </w:rPr>
        <w:t>In de eerste plaats is het front in Warmenhuizen slanker. De pijpvelden in de middenpartij zijn smaller en bevatten minder pijpen dan in Hoogwoud. Verder is het bovendeel van de middenpartij transparanter; het bovendeel van de middenpartij is in Hoogwoud gesloten, hier is het opengewerkt. Ook zijn daar in plaats van de engelen, zoals in Hoogwoud, driepasopeningen aangebracht. Verder lijkt het of de ontwerper wat consequenter romaans te werk wilde gaan. Zo is de boog die de gehele middenpartij overspant voorzien van een zigzag decoratie, een typisch romaans motief. Het fronton boven de middenpartij is niet meer voorzien van neoclassicistische palmetten, maar van vrij fantastische florale motieven en gekoppelde C-voluten op de hoeken. Op de bogen boven de pijpvelden zijn rozetten te zien.</w:t>
      </w:r>
    </w:p>
    <w:p>
      <w:pPr>
        <w:pStyle w:val="T2Kunst"/>
        <w:jc w:val="start"/>
        <w:rPr>
          <w:lang w:val="nl-NL"/>
        </w:rPr>
      </w:pPr>
      <w:r>
        <w:rPr>
          <w:lang w:val="nl-NL"/>
        </w:rPr>
        <w:t>De torens van beide orgels verschillen ook. De benedenblinderingen, die bestaan uit tootlijsten en de bovenblinderingen, gevormd door driepasboogen, zijn bij beide orgels in hoofdzaak gelijk. De torenkappen verschillen echter aanzienlijk: in Hoogwoud zijn deze glad, in Warmenhuizen zijn zij voorzien van gestileerd bladwerk dat de decoratie van het Domorgel in Utrecht (1831) in herinnering roept (deel 1819-1840, 274-277). De borstweringen van de torenspitsen met hun vierpasrozetten zijn bij beide fronten ongeveer gelijk, maar de hoektorentjes verschillen weer; in Hoogwoud worden deze door koepeltjes afgesloten, in Warmenhuizen door spitsen met zijschilden en een kruisbloem in top. De eigenlijke spitsen van de beide torens zijn in Hoogwoud voorzien van een in wezen gotische decoratie van rozetten met vierpassen; in Warmenhuizen is dat een geschubde afdekking, die herinnert aan het romaans van de Poitou, een bouwtrant die juist in deze tijd meer algemeen bekend werd.</w:t>
      </w:r>
    </w:p>
    <w:p>
      <w:pPr>
        <w:pStyle w:val="T2Kunst"/>
        <w:jc w:val="start"/>
        <w:rPr>
          <w:lang w:val="nl-NL"/>
        </w:rPr>
      </w:pPr>
      <w:r>
        <w:rPr>
          <w:lang w:val="nl-NL"/>
        </w:rPr>
        <w:t>De onderkas is bij beide instrumenten op een paar details na gelijk. Ten slotte Caecilia: in Hoogwoud heeft haar beeld met name door de plooival uitgesproken klassieke trekken; zij houdt haar orgeltje in de rechterhand, terwijl zij in de linkerhand een zegepalm vasthoudt. Het beeld in Warmenhuizen heeft een eenvoudiger plooival. Verder houdt zij haar orgeltje in haar linkerhand, terwijl zij er met haar rechterhand op speelt.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Fotokaart </w:t>
      </w:r>
      <w:r>
        <w:rPr>
          <w:i/>
          <w:iCs/>
          <w:lang w:val="nl-NL"/>
        </w:rPr>
        <w:t>De Mixtuur</w:t>
      </w:r>
      <w:r>
        <w:rPr>
          <w:lang w:val="nl-NL"/>
        </w:rPr>
        <w:t>.</w:t>
      </w:r>
    </w:p>
    <w:p>
      <w:pPr>
        <w:pStyle w:val="T3Lit"/>
        <w:jc w:val="start"/>
        <w:rPr/>
      </w:pPr>
      <w:r>
        <w:rPr>
          <w:lang w:val="nl-NL"/>
        </w:rPr>
        <w:t xml:space="preserve">Jan Jongepier, ´Drie gerestaureerde Ypma-orgels´. </w:t>
      </w:r>
      <w:r>
        <w:rPr>
          <w:i/>
          <w:iCs/>
          <w:lang w:val="nl-NL"/>
        </w:rPr>
        <w:t>Het Orgel</w:t>
      </w:r>
      <w:r>
        <w:rPr>
          <w:lang w:val="nl-NL"/>
        </w:rPr>
        <w:t>, 81/10 (1985), 451-454.</w:t>
      </w:r>
    </w:p>
    <w:p>
      <w:pPr>
        <w:pStyle w:val="T3Lit"/>
        <w:jc w:val="start"/>
        <w:rPr/>
      </w:pPr>
      <w:r>
        <w:rPr>
          <w:i/>
          <w:iCs/>
          <w:lang w:val="nl-NL"/>
        </w:rPr>
        <w:t>Het Orgel</w:t>
      </w:r>
      <w:r>
        <w:rPr>
          <w:lang w:val="nl-NL"/>
        </w:rPr>
        <w:t>, 78/3 (1982), 111.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pPr>
      <w:r>
        <w:rPr>
          <w:lang w:val="nl-NL"/>
        </w:rPr>
        <w:t xml:space="preserve">Wim Loos, </w:t>
      </w:r>
      <w:r>
        <w:rPr>
          <w:i/>
          <w:iCs/>
          <w:lang w:val="nl-NL"/>
        </w:rPr>
        <w:t>Inleiding tot het werk van de orgelmakers Ypma</w:t>
      </w:r>
      <w:r>
        <w:rPr>
          <w:lang w:val="nl-NL"/>
        </w:rPr>
        <w:t>. Utrecht, 1990, 171-172.</w:t>
      </w:r>
    </w:p>
    <w:p>
      <w:pPr>
        <w:pStyle w:val="T3Lit"/>
        <w:jc w:val="start"/>
        <w:rPr>
          <w:lang w:val="nl-NL"/>
        </w:rPr>
      </w:pPr>
      <w:r>
        <w:rPr>
          <w:lang w:val="nl-NL"/>
        </w:rPr>
      </w:r>
    </w:p>
    <w:p>
      <w:pPr>
        <w:pStyle w:val="T3Lit"/>
        <w:jc w:val="start"/>
        <w:rPr>
          <w:lang w:val="nl-NL"/>
        </w:rPr>
      </w:pPr>
      <w:r>
        <w:rPr>
          <w:lang w:val="nl-NL"/>
        </w:rPr>
        <w:t>Monumentnummer 38277</w:t>
      </w:r>
    </w:p>
    <w:p>
      <w:pPr>
        <w:pStyle w:val="T3Lit"/>
        <w:jc w:val="start"/>
        <w:rPr>
          <w:lang w:val="nl-NL"/>
        </w:rPr>
      </w:pPr>
      <w:r>
        <w:rPr>
          <w:lang w:val="nl-NL"/>
        </w:rPr>
        <w:t>Orgelnummer 1608</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L.Ypma</w:t>
      </w:r>
    </w:p>
    <w:p>
      <w:pPr>
        <w:pStyle w:val="T1"/>
        <w:jc w:val="start"/>
        <w:rPr>
          <w:lang w:val="nl-NL"/>
        </w:rPr>
      </w:pPr>
      <w:r>
        <w:rPr>
          <w:lang w:val="nl-NL"/>
        </w:rPr>
        <w:t>2. B. Pels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1. 1886</w:t>
      </w:r>
    </w:p>
    <w:p>
      <w:pPr>
        <w:pStyle w:val="T1"/>
        <w:jc w:val="start"/>
        <w:rPr>
          <w:lang w:val="nl-NL"/>
        </w:rPr>
      </w:pPr>
      <w:r>
        <w:rPr>
          <w:lang w:val="nl-NL"/>
        </w:rPr>
        <w:t>2. 1930</w:t>
      </w:r>
    </w:p>
    <w:p>
      <w:pPr>
        <w:pStyle w:val="T1"/>
        <w:jc w:val="start"/>
        <w:rPr>
          <w:lang w:val="nl-NL"/>
        </w:rPr>
      </w:pPr>
      <w:r>
        <w:rPr>
          <w:lang w:val="nl-NL"/>
        </w:rPr>
      </w:r>
    </w:p>
    <w:p>
      <w:pPr>
        <w:pStyle w:val="T1"/>
        <w:jc w:val="start"/>
        <w:rPr>
          <w:lang w:val="nl-NL"/>
        </w:rPr>
      </w:pPr>
      <w:r>
        <w:rPr>
          <w:lang w:val="nl-NL"/>
        </w:rPr>
        <w:t>B. Pels &amp; Zn 1930</w:t>
      </w:r>
    </w:p>
    <w:p>
      <w:pPr>
        <w:pStyle w:val="T1"/>
        <w:numPr>
          <w:ilvl w:val="0"/>
          <w:numId w:val="2"/>
        </w:numPr>
        <w:jc w:val="start"/>
        <w:rPr>
          <w:lang w:val="nl-NL"/>
        </w:rPr>
      </w:pPr>
      <w:r>
        <w:rPr>
          <w:lang w:val="nl-NL"/>
        </w:rPr>
        <w:t>orgel gewijzigd en uitgereid met pneumatisch vrij Ped voorzien van Subbas 16' en Cello 8'</w:t>
      </w:r>
    </w:p>
    <w:p>
      <w:pPr>
        <w:pStyle w:val="T1"/>
        <w:numPr>
          <w:ilvl w:val="0"/>
          <w:numId w:val="2"/>
        </w:numPr>
        <w:jc w:val="start"/>
        <w:rPr>
          <w:lang w:val="nl-NL"/>
        </w:rPr>
      </w:pPr>
      <w:r>
        <w:rPr>
          <w:lang w:val="nl-NL"/>
        </w:rPr>
        <w:t>orgelkas verdiept en van een nieuwe achterwand voorzien; luiken uit oorspronkelijke achterwand verwijderd</w:t>
      </w:r>
    </w:p>
    <w:p>
      <w:pPr>
        <w:pStyle w:val="T1"/>
        <w:jc w:val="start"/>
        <w:rPr>
          <w:lang w:val="nl-NL"/>
        </w:rPr>
      </w:pPr>
      <w:r>
        <w:rPr>
          <w:lang w:val="nl-NL"/>
        </w:rPr>
        <w:t>.</w:t>
        <w:tab/>
        <w:t>mechanieken gereviseerd en gewijzigd</w:t>
      </w:r>
    </w:p>
    <w:p>
      <w:pPr>
        <w:pStyle w:val="T1"/>
        <w:jc w:val="start"/>
        <w:rPr>
          <w:lang w:val="nl-NL"/>
        </w:rPr>
      </w:pPr>
      <w:r>
        <w:rPr>
          <w:lang w:val="nl-NL"/>
        </w:rPr>
        <w:t>.</w:t>
        <w:tab/>
        <w:t>dispositiewijzigingen:</w:t>
      </w:r>
    </w:p>
    <w:p>
      <w:pPr>
        <w:pStyle w:val="T1"/>
        <w:jc w:val="start"/>
        <w:rPr>
          <w:lang w:val="nl-NL"/>
        </w:rPr>
      </w:pPr>
      <w:r>
        <w:rPr>
          <w:lang w:val="nl-NL"/>
        </w:rPr>
        <w:tab/>
        <w:t>HW - Bourdon 16' (naar Ped)</w:t>
      </w:r>
    </w:p>
    <w:p>
      <w:pPr>
        <w:pStyle w:val="T1"/>
        <w:jc w:val="start"/>
        <w:rPr>
          <w:lang w:val="nl-NL"/>
        </w:rPr>
      </w:pPr>
      <w:r>
        <w:rPr>
          <w:lang w:val="nl-NL"/>
        </w:rPr>
        <w:tab/>
        <w:t>BW - Speelfluit 2', - Basson 8', + Aeoline 8', + Flute d´amore 4'</w:t>
      </w:r>
    </w:p>
    <w:p>
      <w:pPr>
        <w:pStyle w:val="T1"/>
        <w:jc w:val="start"/>
        <w:rPr>
          <w:lang w:val="nl-NL"/>
        </w:rPr>
      </w:pPr>
      <w:r>
        <w:rPr>
          <w:lang w:val="nl-NL"/>
        </w:rPr>
      </w:r>
    </w:p>
    <w:p>
      <w:pPr>
        <w:pStyle w:val="T1"/>
        <w:jc w:val="start"/>
        <w:rPr>
          <w:lang w:val="nl-NL"/>
        </w:rPr>
      </w:pPr>
      <w:r>
        <w:rPr>
          <w:lang w:val="nl-NL"/>
        </w:rPr>
        <w:t>B. Pels &amp; Zn 1963</w:t>
      </w:r>
    </w:p>
    <w:p>
      <w:pPr>
        <w:pStyle w:val="T1"/>
        <w:jc w:val="start"/>
        <w:rPr>
          <w:lang w:val="nl-NL"/>
        </w:rPr>
      </w:pPr>
      <w:r>
        <w:rPr>
          <w:lang w:val="nl-NL"/>
        </w:rPr>
        <w:t>.</w:t>
        <w:tab/>
        <w:t>restauratie</w:t>
      </w:r>
    </w:p>
    <w:p>
      <w:pPr>
        <w:pStyle w:val="T1"/>
        <w:jc w:val="start"/>
        <w:rPr>
          <w:lang w:val="nl-NL"/>
        </w:rPr>
      </w:pPr>
      <w:r>
        <w:rPr>
          <w:lang w:val="nl-NL"/>
        </w:rPr>
        <w:t>.</w:t>
        <w:tab/>
        <w:t>frontpijpen van zijbaarden voorzien</w:t>
      </w:r>
    </w:p>
    <w:p>
      <w:pPr>
        <w:pStyle w:val="T1"/>
        <w:jc w:val="start"/>
        <w:rPr>
          <w:lang w:val="nl-NL"/>
        </w:rPr>
      </w:pPr>
      <w:r>
        <w:rPr>
          <w:lang w:val="nl-NL"/>
        </w:rPr>
        <w:t>.</w:t>
        <w:tab/>
        <w:t>windladen van telescoophulzen voorzien</w:t>
      </w:r>
    </w:p>
    <w:p>
      <w:pPr>
        <w:pStyle w:val="T1"/>
        <w:jc w:val="start"/>
        <w:rPr>
          <w:lang w:val="nl-NL"/>
        </w:rPr>
      </w:pPr>
      <w:r>
        <w:rPr>
          <w:lang w:val="nl-NL"/>
        </w:rPr>
        <w:t>.</w:t>
        <w:tab/>
        <w:t>BW - Aeoline 8', - Flute d´amore 4', + Quintfluit 3', + Fluit 2'</w:t>
      </w:r>
    </w:p>
    <w:p>
      <w:pPr>
        <w:pStyle w:val="T1"/>
        <w:jc w:val="start"/>
        <w:rPr>
          <w:lang w:val="nl-NL"/>
        </w:rPr>
      </w:pPr>
      <w:r>
        <w:rPr>
          <w:lang w:val="nl-NL"/>
        </w:rPr>
      </w:r>
    </w:p>
    <w:p>
      <w:pPr>
        <w:pStyle w:val="T1"/>
        <w:jc w:val="start"/>
        <w:rPr>
          <w:lang w:val="nl-NL"/>
        </w:rPr>
      </w:pPr>
      <w:r>
        <w:rPr>
          <w:lang w:val="nl-NL"/>
        </w:rPr>
        <w:t>Jos. Vermeulen 1969</w:t>
      </w:r>
    </w:p>
    <w:p>
      <w:pPr>
        <w:pStyle w:val="T1"/>
        <w:jc w:val="start"/>
        <w:rPr>
          <w:lang w:val="nl-NL"/>
        </w:rPr>
      </w:pPr>
      <w:r>
        <w:rPr>
          <w:lang w:val="nl-NL"/>
        </w:rPr>
        <w:t>.</w:t>
        <w:tab/>
        <w:t>mechanieken gereviseerd en zwevend gemaakt</w:t>
      </w:r>
    </w:p>
    <w:p>
      <w:pPr>
        <w:pStyle w:val="T1"/>
        <w:jc w:val="start"/>
        <w:rPr>
          <w:lang w:val="nl-NL"/>
        </w:rPr>
      </w:pPr>
      <w:r>
        <w:rPr>
          <w:lang w:val="nl-NL"/>
        </w:rPr>
        <w:t>.</w:t>
        <w:tab/>
        <w:t>herintonatie</w:t>
      </w:r>
    </w:p>
    <w:p>
      <w:pPr>
        <w:pStyle w:val="T1"/>
        <w:jc w:val="start"/>
        <w:rPr>
          <w:lang w:val="nl-NL"/>
        </w:rPr>
      </w:pPr>
      <w:r>
        <w:rPr>
          <w:lang w:val="nl-NL"/>
        </w:rPr>
      </w:r>
    </w:p>
    <w:p>
      <w:pPr>
        <w:pStyle w:val="T1"/>
        <w:jc w:val="start"/>
        <w:rPr>
          <w:lang w:val="nl-NL"/>
        </w:rPr>
      </w:pPr>
      <w:r>
        <w:rPr>
          <w:lang w:val="nl-NL"/>
        </w:rPr>
        <w:t>Jos. Vermeulen 1981</w:t>
      </w:r>
    </w:p>
    <w:p>
      <w:pPr>
        <w:pStyle w:val="T1"/>
        <w:jc w:val="start"/>
        <w:rPr>
          <w:lang w:val="nl-NL"/>
        </w:rPr>
      </w:pPr>
      <w:r>
        <w:rPr>
          <w:lang w:val="nl-NL"/>
        </w:rPr>
        <w:t>.</w:t>
        <w:tab/>
        <w:t>restauratie</w:t>
      </w:r>
    </w:p>
    <w:p>
      <w:pPr>
        <w:pStyle w:val="T1"/>
        <w:jc w:val="start"/>
        <w:rPr>
          <w:lang w:val="nl-NL"/>
        </w:rPr>
      </w:pPr>
      <w:r>
        <w:rPr>
          <w:lang w:val="nl-NL"/>
        </w:rPr>
        <w:t>.</w:t>
        <w:tab/>
        <w:t>nieuwe handklavieren</w:t>
      </w:r>
    </w:p>
    <w:p>
      <w:pPr>
        <w:pStyle w:val="T1"/>
        <w:jc w:val="start"/>
        <w:rPr>
          <w:lang w:val="nl-NL"/>
        </w:rPr>
      </w:pPr>
      <w:r>
        <w:rPr>
          <w:lang w:val="nl-NL"/>
        </w:rPr>
        <w:t>.</w:t>
        <w:tab/>
        <w:t>windladen gerestaureerd; telescoophulzen verwijderd en vervangen door flexibele ringen</w:t>
      </w:r>
    </w:p>
    <w:p>
      <w:pPr>
        <w:pStyle w:val="T1"/>
        <w:jc w:val="start"/>
        <w:rPr>
          <w:lang w:val="nl-NL"/>
        </w:rPr>
      </w:pPr>
      <w:r>
        <w:rPr>
          <w:lang w:val="nl-NL"/>
        </w:rPr>
        <w:t>.</w:t>
        <w:tab/>
        <w:t>dispositiewijzigingen:</w:t>
      </w:r>
    </w:p>
    <w:p>
      <w:pPr>
        <w:pStyle w:val="T1"/>
        <w:jc w:val="start"/>
        <w:rPr>
          <w:lang w:val="nl-NL"/>
        </w:rPr>
      </w:pPr>
      <w:r>
        <w:rPr>
          <w:lang w:val="nl-NL"/>
        </w:rPr>
        <w:tab/>
        <w:t>HW + Bourdon 16' (deels van Ped); nieuwe tongen Trompet 8'</w:t>
      </w:r>
    </w:p>
    <w:p>
      <w:pPr>
        <w:pStyle w:val="T1"/>
        <w:jc w:val="start"/>
        <w:rPr>
          <w:lang w:val="nl-NL"/>
        </w:rPr>
      </w:pPr>
      <w:r>
        <w:rPr>
          <w:lang w:val="nl-NL"/>
        </w:rPr>
        <w:tab/>
        <w:t>BW - Quintfluit 3', - Fluit 2', + Speelfluit 2', + Dulciaan 8'</w:t>
      </w:r>
    </w:p>
    <w:p>
      <w:pPr>
        <w:pStyle w:val="T1"/>
        <w:jc w:val="start"/>
        <w:rPr>
          <w:lang w:val="nl-NL"/>
        </w:rPr>
      </w:pPr>
      <w:r>
        <w:rPr>
          <w:lang w:val="nl-NL"/>
        </w:rPr>
        <w:tab/>
        <w:t>Ped gebruikte Subbas 16' geplaatst (oude pijpen weer naar HW)</w:t>
      </w:r>
    </w:p>
    <w:p>
      <w:pPr>
        <w:pStyle w:val="Heading2"/>
        <w:rPr>
          <w:i w:val="false"/>
          <w:i w:val="false"/>
          <w:iCs/>
        </w:rPr>
      </w:pPr>
      <w:r>
        <w:rPr>
          <w:i w:val="false"/>
          <w:iCs/>
        </w:rPr>
        <w:t xml:space="preserve">Technische gegevens </w:t>
      </w:r>
    </w:p>
    <w:p>
      <w:pPr>
        <w:pStyle w:val="T1"/>
        <w:jc w:val="start"/>
        <w:rPr>
          <w:i/>
          <w:i/>
          <w:iCs/>
          <w:lang w:val="nl-NL"/>
        </w:rPr>
      </w:pPr>
      <w:r>
        <w:rPr>
          <w:i/>
          <w:iCs/>
          <w:lang w:val="nl-NL"/>
        </w:rPr>
      </w:r>
    </w:p>
    <w:p>
      <w:pPr>
        <w:pStyle w:val="T1"/>
        <w:jc w:val="start"/>
        <w:rPr>
          <w:lang w:val="nl-NL"/>
        </w:rPr>
      </w:pPr>
      <w:r>
        <w:rPr>
          <w:lang w:val="nl-NL"/>
        </w:rPr>
        <w:t xml:space="preserve">Werkindeling </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 xml:space="preserve">Dispositie </w:t>
      </w:r>
    </w:p>
    <w:tbl>
      <w:tblPr>
        <w:tblW w:w="7270" w:type="dxa"/>
        <w:jc w:val="start"/>
        <w:tblInd w:w="-70" w:type="dxa"/>
        <w:tblLayout w:type="fixed"/>
        <w:tblCellMar>
          <w:top w:w="0" w:type="dxa"/>
          <w:start w:w="70" w:type="dxa"/>
          <w:bottom w:w="0" w:type="dxa"/>
          <w:end w:w="70" w:type="dxa"/>
        </w:tblCellMar>
      </w:tblPr>
      <w:tblGrid>
        <w:gridCol w:w="1510"/>
        <w:gridCol w:w="892"/>
        <w:gridCol w:w="2168"/>
        <w:gridCol w:w="540"/>
        <w:gridCol w:w="1260"/>
        <w:gridCol w:w="900"/>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Salicet</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8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2-3-4 st.</w:t>
            </w:r>
          </w:p>
          <w:p>
            <w:pPr>
              <w:pStyle w:val="T4dispositie"/>
              <w:rPr>
                <w:lang w:val="nl-NL"/>
              </w:rPr>
            </w:pPr>
            <w:r>
              <w:rPr>
                <w:lang w:val="nl-NL"/>
              </w:rPr>
              <w:t>4 st.</w:t>
            </w:r>
          </w:p>
          <w:p>
            <w:pPr>
              <w:pStyle w:val="T4dispositie"/>
              <w:rPr>
                <w:lang w:val="nl-NL"/>
              </w:rPr>
            </w:pPr>
            <w:r>
              <w:rPr>
                <w:lang w:val="nl-NL"/>
              </w:rPr>
              <w:t>8'</w:t>
            </w:r>
          </w:p>
        </w:tc>
        <w:tc>
          <w:tcPr>
            <w:tcW w:w="2168" w:type="dxa"/>
            <w:tcBorders/>
          </w:tcPr>
          <w:p>
            <w:pPr>
              <w:pStyle w:val="T4dispositie"/>
              <w:rPr>
                <w:i/>
                <w:i/>
                <w:iCs/>
                <w:lang w:val="nl-NL"/>
              </w:rPr>
            </w:pPr>
            <w:r>
              <w:rPr>
                <w:i/>
                <w:iCs/>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Voix Célèste</w:t>
            </w:r>
          </w:p>
          <w:p>
            <w:pPr>
              <w:pStyle w:val="T4dispositie"/>
              <w:rPr>
                <w:lang w:val="nl-NL"/>
              </w:rPr>
            </w:pPr>
            <w:r>
              <w:rPr>
                <w:lang w:val="nl-NL"/>
              </w:rPr>
              <w:t>Roerfluit</w:t>
            </w:r>
          </w:p>
          <w:p>
            <w:pPr>
              <w:pStyle w:val="T4dispositie"/>
              <w:rPr>
                <w:lang w:val="nl-NL"/>
              </w:rPr>
            </w:pPr>
            <w:r>
              <w:rPr>
                <w:lang w:val="nl-NL"/>
              </w:rPr>
              <w:t>Speelfluit</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260"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Cello</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1"/>
        <w:jc w:val="start"/>
        <w:rPr>
          <w:lang w:val="nl-NL"/>
        </w:rPr>
      </w:pPr>
      <w:r>
        <w:rPr>
          <w:lang w:val="nl-NL"/>
        </w:rPr>
        <w:t>Werktuigelijke registers</w:t>
      </w:r>
    </w:p>
    <w:p>
      <w:pPr>
        <w:pStyle w:val="T1"/>
        <w:jc w:val="start"/>
        <w:rPr>
          <w:lang w:val="nl-NL"/>
        </w:rPr>
      </w:pPr>
      <w:r>
        <w:rPr>
          <w:lang w:val="nl-NL"/>
        </w:rPr>
        <w:t>manuaalkoppel, pedaalkoppel</w:t>
      </w:r>
    </w:p>
    <w:p>
      <w:pPr>
        <w:pStyle w:val="T1"/>
        <w:jc w:val="start"/>
        <w:rPr>
          <w:lang w:val="nl-NL"/>
        </w:rPr>
      </w:pPr>
      <w:r>
        <w:rPr>
          <w:lang w:val="nl-NL"/>
        </w:rPr>
      </w:r>
    </w:p>
    <w:p>
      <w:pPr>
        <w:pStyle w:val="T1"/>
        <w:jc w:val="start"/>
        <w:rPr>
          <w:lang w:val="nl-NL"/>
        </w:rPr>
      </w:pPr>
      <w:r>
        <w:rPr>
          <w:lang w:val="nl-NL"/>
        </w:rPr>
        <w:t>Samenstelling vulstemmen</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439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C-c</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trapinstallatie (1886)</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windvoorziening bevindt zich in de onderkas.</w:t>
      </w:r>
    </w:p>
    <w:p>
      <w:pPr>
        <w:pStyle w:val="T1"/>
        <w:jc w:val="start"/>
        <w:rPr>
          <w:lang w:val="nl-NL"/>
        </w:rPr>
      </w:pPr>
      <w:r>
        <w:rPr>
          <w:lang w:val="nl-NL"/>
        </w:rPr>
        <w:t>De handklavieren zijn van eiken (1981) met beenbeleg op de ondertoetsen en ebben boventoetsen. Het pedaalklavier is eveneens van eiken. De registerknoppen zijn voorzien van porseleinen naamplaatjes. De originele handklavieren worden bij het orgel bewaard.</w:t>
      </w:r>
    </w:p>
    <w:p>
      <w:pPr>
        <w:pStyle w:val="T1"/>
        <w:jc w:val="start"/>
        <w:rPr>
          <w:lang w:val="nl-NL"/>
        </w:rPr>
      </w:pPr>
      <w:r>
        <w:rPr>
          <w:lang w:val="nl-NL"/>
        </w:rPr>
        <w:t>De windladen van HW en BW zijn van eiken met mahonie stokken en eiken roosters. Voor het HW zijn afzonderlijke C- en Cis-laden aanwezig in hele tonen van buiten naar binnen aflopend. Het pijpwerk van het Ped staat op één lade met C en Cis in het midden en de overige pijpen naar weerszijden in hele tonen aflopend. De lade van het Ped is een pneumatische kegellade.</w:t>
      </w:r>
    </w:p>
    <w:p>
      <w:pPr>
        <w:pStyle w:val="T1"/>
        <w:jc w:val="start"/>
        <w:rPr/>
      </w:pPr>
      <w:r>
        <w:rPr>
          <w:lang w:val="nl-NL"/>
        </w:rPr>
        <w:t>Het pijpwerk van het HW is nog grotendeels origineel, met uitzondering van de discant van de Bourdon 16'. Van de Prestant 8' staan C-A en H in het front, de overige pijpen staan op de lade. De bas van de Bourdon 16' is van eiken (1886), de discant is van metaal (1981). Het groot octaaf van de Salicet 8' staat afgevoerd achter het front. C-H van de Holpijp 8' is van eiken, het vervolg is van metaal. De Fluit 4' is van C-f</w:t>
      </w:r>
      <w:r>
        <w:rPr>
          <w:vertAlign w:val="superscript"/>
          <w:lang w:val="nl-NL"/>
        </w:rPr>
        <w:t>2</w:t>
      </w:r>
      <w:r>
        <w:rPr>
          <w:lang w:val="nl-NL"/>
        </w:rPr>
        <w:t xml:space="preserve"> gedekt en verder open, conisch. De Cornet staat op de lade. De Trompet 8' heeft metalen stevels, koppen en bekers.</w:t>
      </w:r>
    </w:p>
    <w:p>
      <w:pPr>
        <w:pStyle w:val="T1"/>
        <w:jc w:val="start"/>
        <w:rPr>
          <w:lang w:val="nl-NL"/>
        </w:rPr>
      </w:pPr>
      <w:r>
        <w:rPr>
          <w:lang w:val="nl-NL"/>
        </w:rPr>
        <w:t>De Prestant 8' van het BW staat vanaf fis op de lade. Van de Viola di Gamba 8' staan C-F in het front en Fis-H afgevoerd achter het front. Het groot octaaf van de Bourdon 8' is van eiken, het vervolg is van metaal. De Voix Célèste 8' is van C-H gecombineerd met de Viola di Gamba. De registers Speelfluit 2' (conisch) en Dulciaan 8' (met metalen stevels en koppen) dateren uit 1981.</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cs="Courier New"/>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2007-02-12T12:11:00Z</dcterms:created>
  <dc:creator>WS1</dc:creator>
  <dc:description/>
  <dc:language>en-US</dc:language>
  <cp:lastModifiedBy>WS1</cp:lastModifiedBy>
  <cp:lastPrinted>2006-06-26T15:25:00Z</cp:lastPrinted>
  <dcterms:modified xsi:type="dcterms:W3CDTF">2007-02-12T12:11:00Z</dcterms:modified>
  <cp:revision>2</cp:revision>
  <dc:subject/>
  <dc:title>Utrecht / 1880</dc:title>
</cp:coreProperties>
</file>