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1887</w:t>
      </w:r>
    </w:p>
    <w:p>
      <w:pPr>
        <w:pStyle w:val="Heading2"/>
        <w:rPr>
          <w:i w:val="false"/>
          <w:i w:val="false"/>
          <w:iCs/>
        </w:rPr>
      </w:pPr>
      <w:r>
        <w:rPr>
          <w:i w:val="false"/>
          <w:iCs/>
        </w:rPr>
        <w:t>R.K. Kerk O.L.V. Koningin van de Vrede</w:t>
      </w:r>
    </w:p>
    <w:p>
      <w:pPr>
        <w:pStyle w:val="T1"/>
        <w:jc w:val="start"/>
        <w:rPr>
          <w:i/>
          <w:i/>
          <w:iCs/>
          <w:lang w:val="nl-NL"/>
        </w:rPr>
      </w:pPr>
      <w:r>
        <w:rPr>
          <w:i/>
          <w:iCs/>
          <w:lang w:val="nl-NL"/>
        </w:rPr>
      </w:r>
    </w:p>
    <w:p>
      <w:pPr>
        <w:pStyle w:val="T1"/>
        <w:jc w:val="start"/>
        <w:rPr>
          <w:i/>
          <w:i/>
          <w:iCs/>
          <w:lang w:val="nl-NL"/>
        </w:rPr>
      </w:pPr>
      <w:r>
        <w:rPr>
          <w:i/>
          <w:iCs/>
          <w:lang w:val="nl-NL"/>
        </w:rPr>
        <w:t>Driebeukige kruisbasiliek met zuidwest toren in enigszins gotiserende vormen, gebouwd 1922-1924 naar ontwerp van Jos Beckers. Inwendig een breed middenschip gedekt door een geknikte kap. Smalle zijbeuken. Inrichtingsstukken uit de bouwtijd.</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Tussen 1879 en 1884 werd in Amsterdam de Koepelkerk gebouwd, 'tot dankzeggend aandenken' aan de bevrijding 'van den Spaanschen en Roomschen druk'. Zij was een opmerkelijke neogotische koepelkerk, gebouwd naar ontwerp van de architect A.J. van Beek. Zij werd helaas in 1972 gesloopt.</w:t>
      </w:r>
    </w:p>
    <w:p>
      <w:pPr>
        <w:pStyle w:val="T2Kunst"/>
        <w:jc w:val="start"/>
        <w:rPr>
          <w:lang w:val="nl-NL"/>
        </w:rPr>
      </w:pPr>
      <w:r>
        <w:rPr>
          <w:lang w:val="nl-NL"/>
        </w:rPr>
        <w:t>Het orgel dat J.F. Witte voor deze kerk vervaardigde, was de grootste versie van het blokvormige model met verhoogd middendeel die door de Wittes is geleverd.</w:t>
      </w:r>
    </w:p>
    <w:p>
      <w:pPr>
        <w:pStyle w:val="T2Kunst"/>
        <w:jc w:val="start"/>
        <w:rPr>
          <w:lang w:val="nl-NL"/>
        </w:rPr>
      </w:pPr>
      <w:r>
        <w:rPr>
          <w:lang w:val="nl-NL"/>
        </w:rPr>
        <w:t>De detaillering is eenvoudig. De drie pijpvelden zijn spitsbogig en hebben tootlijsten aan de pijpvoeten en aan de pijpuiteinden toten. In de boogzwikken zijn driehoekige gotische elementen aangebracht. Boven de bogen is een driedelig fries te zien. De stijlen zijn voorzien van inkassingen en ezelsruggen. De forse wimberg bevat een vierpas en wordt geflankeerd door pinakels en afgedekt door hogels.</w:t>
      </w:r>
    </w:p>
    <w:p>
      <w:pPr>
        <w:pStyle w:val="T2Kunst"/>
        <w:jc w:val="start"/>
        <w:rPr>
          <w:lang w:val="nl-NL"/>
        </w:rPr>
      </w:pPr>
      <w:r>
        <w:rPr>
          <w:lang w:val="nl-NL"/>
        </w:rPr>
        <w:t>Er bestaat van dit ontwerp ook een variant in rondboogstijl. Daarbij is eenvoudigweg alles wat bij het uitgevoerde ontwerp spitsbogig was, rondbogig gemaakt.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Cor Boer en Theo Proeskie, </w:t>
      </w:r>
      <w:r>
        <w:rPr>
          <w:i/>
          <w:iCs/>
          <w:lang w:val="nl-NL"/>
        </w:rPr>
        <w:t>Orgels in Amsterdam 1</w:t>
      </w:r>
      <w:r>
        <w:rPr>
          <w:lang w:val="nl-NL"/>
        </w:rPr>
        <w:t>. Amsterdam, 1980, 15, 74.</w:t>
      </w:r>
    </w:p>
    <w:p>
      <w:pPr>
        <w:pStyle w:val="T3Lit"/>
        <w:rPr/>
      </w:pPr>
      <w:r>
        <w:rPr>
          <w:lang w:val="nl-NL"/>
        </w:rPr>
        <w:t xml:space="preserve">Jan Jongepier, Hans van Nieuwkoop, Willem Poot, </w:t>
      </w:r>
      <w:r>
        <w:rPr>
          <w:i/>
          <w:iCs/>
          <w:lang w:val="nl-NL"/>
        </w:rPr>
        <w:t>Orgels in Noord-Holland</w:t>
      </w:r>
      <w:r>
        <w:rPr>
          <w:lang w:val="nl-NL"/>
        </w:rPr>
        <w:t>. Schoorl, z.j. [1996], 227.</w:t>
      </w:r>
    </w:p>
    <w:p>
      <w:pPr>
        <w:pStyle w:val="T3Lit"/>
        <w:rPr/>
      </w:pPr>
      <w:r>
        <w:rPr>
          <w:i/>
          <w:iCs/>
          <w:lang w:val="nl-NL"/>
        </w:rPr>
        <w:t>Het Orgel</w:t>
      </w:r>
      <w:r>
        <w:rPr>
          <w:lang w:val="nl-NL"/>
        </w:rPr>
        <w:t>, 2/10 (1887).</w:t>
      </w:r>
    </w:p>
    <w:p>
      <w:pPr>
        <w:pStyle w:val="T3Lit"/>
        <w:rPr/>
      </w:pPr>
      <w:r>
        <w:rPr>
          <w:lang w:val="nl-NL"/>
        </w:rPr>
        <w:t xml:space="preserve">Teus den Toom, </w:t>
      </w:r>
      <w:r>
        <w:rPr>
          <w:i/>
          <w:lang w:val="nl-NL"/>
        </w:rPr>
        <w:t>De orgelmakers Witte</w:t>
      </w:r>
      <w:r>
        <w:rPr>
          <w:lang w:val="nl-NL"/>
        </w:rPr>
        <w:t>. Heerenveen, 1997, 918-920, 969-971.</w:t>
      </w:r>
    </w:p>
    <w:p>
      <w:pPr>
        <w:pStyle w:val="T3Lit"/>
        <w:rPr>
          <w:lang w:val="nl-NL"/>
        </w:rPr>
      </w:pPr>
      <w:r>
        <w:rPr>
          <w:lang w:val="nl-NL"/>
        </w:rPr>
      </w:r>
    </w:p>
    <w:p>
      <w:pPr>
        <w:pStyle w:val="T3Lit"/>
        <w:rPr>
          <w:lang w:val="nl-NL"/>
        </w:rPr>
      </w:pPr>
      <w:r>
        <w:rPr>
          <w:b/>
          <w:bCs/>
          <w:lang w:val="nl-NL"/>
        </w:rPr>
        <w:t>Niet gepubliceerde bronnen</w:t>
      </w:r>
    </w:p>
    <w:p>
      <w:pPr>
        <w:pStyle w:val="T3Lit"/>
        <w:rPr/>
      </w:pPr>
      <w:r>
        <w:rPr>
          <w:lang w:val="nl-NL"/>
        </w:rPr>
        <w:t xml:space="preserve">A. Bouman, </w:t>
      </w:r>
      <w:r>
        <w:rPr>
          <w:i/>
          <w:iCs/>
          <w:lang w:val="nl-NL"/>
        </w:rPr>
        <w:t>Dispositiecahier VIII-A.</w:t>
      </w:r>
    </w:p>
    <w:p>
      <w:pPr>
        <w:pStyle w:val="T3Lit"/>
        <w:rPr>
          <w:lang w:val="nl-NL"/>
        </w:rPr>
      </w:pPr>
      <w:r>
        <w:rPr>
          <w:lang w:val="nl-NL"/>
        </w:rPr>
        <w:t>Archief Hervormde Gemeente Amsterdam.</w:t>
      </w:r>
    </w:p>
    <w:p>
      <w:pPr>
        <w:pStyle w:val="T3Lit"/>
        <w:rPr>
          <w:lang w:val="nl-NL"/>
        </w:rPr>
      </w:pPr>
      <w:r>
        <w:rPr>
          <w:lang w:val="nl-NL"/>
        </w:rPr>
        <w:t>Orgelarchief Teus den Toom.</w:t>
      </w:r>
    </w:p>
    <w:p>
      <w:pPr>
        <w:pStyle w:val="T3Lit"/>
        <w:rPr>
          <w:lang w:val="nl-NL"/>
        </w:rPr>
      </w:pPr>
      <w:r>
        <w:rPr>
          <w:lang w:val="nl-NL"/>
        </w:rPr>
        <w:t>Witte-archief.</w:t>
      </w:r>
    </w:p>
    <w:p>
      <w:pPr>
        <w:pStyle w:val="T3Lit"/>
        <w:rPr>
          <w:lang w:val="nl-NL"/>
        </w:rPr>
      </w:pPr>
      <w:r>
        <w:rPr>
          <w:lang w:val="nl-NL"/>
        </w:rPr>
      </w:r>
    </w:p>
    <w:p>
      <w:pPr>
        <w:pStyle w:val="T3Lit"/>
        <w:rPr>
          <w:lang w:val="nl-NL"/>
        </w:rPr>
      </w:pPr>
      <w:r>
        <w:rPr>
          <w:lang w:val="nl-NL"/>
        </w:rPr>
        <w:t>Orgelnummer 1910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Amsterdam, Koepelkerk</w:t>
      </w:r>
    </w:p>
    <w:p>
      <w:pPr>
        <w:pStyle w:val="T1"/>
        <w:jc w:val="start"/>
        <w:rPr>
          <w:lang w:val="nl-NL"/>
        </w:rPr>
      </w:pPr>
      <w:r>
        <w:rPr>
          <w:lang w:val="nl-NL"/>
        </w:rPr>
      </w:r>
    </w:p>
    <w:p>
      <w:pPr>
        <w:pStyle w:val="T1"/>
        <w:jc w:val="start"/>
        <w:rPr>
          <w:lang w:val="nl-NL"/>
        </w:rPr>
      </w:pPr>
      <w:r>
        <w:rPr>
          <w:lang w:val="nl-NL"/>
        </w:rPr>
        <w:t>G. Spit 1903</w:t>
      </w:r>
    </w:p>
    <w:p>
      <w:pPr>
        <w:pStyle w:val="T1"/>
        <w:jc w:val="start"/>
        <w:rPr>
          <w:lang w:val="nl-NL"/>
        </w:rPr>
      </w:pPr>
      <w:r>
        <w:rPr>
          <w:lang w:val="nl-NL"/>
        </w:rPr>
        <w:t>.</w:t>
        <w:tab/>
        <w:t>schoonmaak en herstel</w:t>
      </w:r>
    </w:p>
    <w:p>
      <w:pPr>
        <w:pStyle w:val="T1"/>
        <w:jc w:val="start"/>
        <w:rPr>
          <w:lang w:val="nl-NL"/>
        </w:rPr>
      </w:pPr>
      <w:r>
        <w:rPr>
          <w:lang w:val="nl-NL"/>
        </w:rPr>
        <w:t>.</w:t>
        <w:tab/>
        <w:t>frontpijpen gepolijst en gevernist</w:t>
      </w:r>
    </w:p>
    <w:p>
      <w:pPr>
        <w:pStyle w:val="T1"/>
        <w:jc w:val="start"/>
        <w:rPr>
          <w:lang w:val="nl-NL"/>
        </w:rPr>
      </w:pPr>
      <w:r>
        <w:rPr>
          <w:lang w:val="nl-NL"/>
        </w:rPr>
      </w:r>
    </w:p>
    <w:p>
      <w:pPr>
        <w:pStyle w:val="T1"/>
        <w:jc w:val="start"/>
        <w:rPr>
          <w:lang w:val="nl-NL"/>
        </w:rPr>
      </w:pPr>
      <w:r>
        <w:rPr>
          <w:lang w:val="nl-NL"/>
        </w:rPr>
        <w:t>J.C. Sanders 1913</w:t>
      </w:r>
    </w:p>
    <w:p>
      <w:pPr>
        <w:pStyle w:val="T1"/>
        <w:jc w:val="start"/>
        <w:rPr>
          <w:lang w:val="nl-NL"/>
        </w:rPr>
      </w:pPr>
      <w:r>
        <w:rPr>
          <w:lang w:val="nl-NL"/>
        </w:rPr>
        <w:t>.</w:t>
        <w:tab/>
        <w:t>schoonmaak en polijsten frontpijpen</w:t>
      </w:r>
    </w:p>
    <w:p>
      <w:pPr>
        <w:pStyle w:val="T1"/>
        <w:jc w:val="start"/>
        <w:rPr>
          <w:lang w:val="nl-NL"/>
        </w:rPr>
      </w:pPr>
      <w:r>
        <w:rPr>
          <w:lang w:val="nl-NL"/>
        </w:rPr>
      </w:r>
    </w:p>
    <w:p>
      <w:pPr>
        <w:pStyle w:val="T1"/>
        <w:jc w:val="start"/>
        <w:rPr>
          <w:lang w:val="nl-NL"/>
        </w:rPr>
      </w:pPr>
      <w:r>
        <w:rPr>
          <w:lang w:val="nl-NL"/>
        </w:rPr>
        <w:t>J.C. Sanders 1917</w:t>
      </w:r>
    </w:p>
    <w:p>
      <w:pPr>
        <w:pStyle w:val="T1"/>
        <w:jc w:val="start"/>
        <w:rPr>
          <w:lang w:val="nl-NL"/>
        </w:rPr>
      </w:pPr>
      <w:r>
        <w:rPr>
          <w:lang w:val="nl-NL"/>
        </w:rPr>
        <w:t>.</w:t>
        <w:tab/>
        <w:t>herstel na waterschade door lekkage</w:t>
      </w:r>
    </w:p>
    <w:p>
      <w:pPr>
        <w:pStyle w:val="T1"/>
        <w:jc w:val="start"/>
        <w:rPr>
          <w:lang w:val="nl-NL"/>
        </w:rPr>
      </w:pPr>
      <w:r>
        <w:rPr>
          <w:lang w:val="nl-NL"/>
        </w:rPr>
      </w:r>
    </w:p>
    <w:p>
      <w:pPr>
        <w:pStyle w:val="T1"/>
        <w:jc w:val="start"/>
        <w:rPr>
          <w:lang w:val="nl-NL"/>
        </w:rPr>
      </w:pPr>
      <w:r>
        <w:rPr>
          <w:lang w:val="nl-NL"/>
        </w:rPr>
        <w:t>J.C. Sanders &amp; Zn 1928</w:t>
      </w:r>
    </w:p>
    <w:p>
      <w:pPr>
        <w:pStyle w:val="T1"/>
        <w:jc w:val="start"/>
        <w:rPr>
          <w:lang w:val="nl-NL"/>
        </w:rPr>
      </w:pPr>
      <w:r>
        <w:rPr>
          <w:lang w:val="nl-NL"/>
        </w:rPr>
        <w:t>.</w:t>
        <w:tab/>
        <w:t>herstel; nieuwe pulpeten lade Ped</w:t>
      </w:r>
    </w:p>
    <w:p>
      <w:pPr>
        <w:pStyle w:val="T1"/>
        <w:jc w:val="start"/>
        <w:rPr>
          <w:lang w:val="nl-NL"/>
        </w:rPr>
      </w:pPr>
      <w:r>
        <w:rPr>
          <w:lang w:val="nl-NL"/>
        </w:rPr>
      </w:r>
    </w:p>
    <w:p>
      <w:pPr>
        <w:pStyle w:val="T1"/>
        <w:jc w:val="start"/>
        <w:rPr>
          <w:lang w:val="nl-NL"/>
        </w:rPr>
      </w:pPr>
      <w:r>
        <w:rPr>
          <w:lang w:val="nl-NL"/>
        </w:rPr>
        <w:t>J.C. Sanders &amp; Zn 1929</w:t>
      </w:r>
    </w:p>
    <w:p>
      <w:pPr>
        <w:pStyle w:val="T1"/>
        <w:jc w:val="start"/>
        <w:rPr>
          <w:lang w:val="nl-NL"/>
        </w:rPr>
      </w:pPr>
      <w:r>
        <w:rPr>
          <w:lang w:val="nl-NL"/>
        </w:rPr>
        <w:t>.</w:t>
        <w:tab/>
        <w:t>herstel na waterschade door lekkage</w:t>
      </w:r>
    </w:p>
    <w:p>
      <w:pPr>
        <w:pStyle w:val="T1"/>
        <w:jc w:val="start"/>
        <w:rPr>
          <w:lang w:val="nl-NL"/>
        </w:rPr>
      </w:pPr>
      <w:r>
        <w:rPr>
          <w:lang w:val="nl-NL"/>
        </w:rPr>
      </w:r>
    </w:p>
    <w:p>
      <w:pPr>
        <w:pStyle w:val="T1"/>
        <w:jc w:val="start"/>
        <w:rPr>
          <w:lang w:val="nl-NL"/>
        </w:rPr>
      </w:pPr>
      <w:r>
        <w:rPr>
          <w:lang w:val="nl-NL"/>
        </w:rPr>
        <w:t>J.C. Sanders &amp; Zn 1932</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K.B. Blank 1961</w:t>
      </w:r>
    </w:p>
    <w:p>
      <w:pPr>
        <w:pStyle w:val="T1"/>
        <w:jc w:val="start"/>
        <w:rPr>
          <w:lang w:val="nl-NL"/>
        </w:rPr>
      </w:pPr>
      <w:r>
        <w:rPr>
          <w:lang w:val="nl-NL"/>
        </w:rPr>
        <w:t>.</w:t>
        <w:tab/>
        <w:t>windladen HW en BW gerestaureerd</w:t>
      </w:r>
    </w:p>
    <w:p>
      <w:pPr>
        <w:pStyle w:val="T1"/>
        <w:jc w:val="start"/>
        <w:rPr>
          <w:lang w:val="nl-NL"/>
        </w:rPr>
      </w:pPr>
      <w:r>
        <w:rPr>
          <w:lang w:val="nl-NL"/>
        </w:rPr>
        <w:t>.</w:t>
        <w:tab/>
        <w:t>BW + Scherp 4 st.; overblazend pijpwerk Flageolet 2' op lengte afgesneden</w:t>
      </w:r>
    </w:p>
    <w:p>
      <w:pPr>
        <w:pStyle w:val="T1"/>
        <w:jc w:val="start"/>
        <w:rPr>
          <w:lang w:val="nl-NL"/>
        </w:rPr>
      </w:pPr>
      <w:r>
        <w:rPr>
          <w:lang w:val="nl-NL"/>
        </w:rPr>
      </w:r>
    </w:p>
    <w:p>
      <w:pPr>
        <w:pStyle w:val="T1"/>
        <w:jc w:val="start"/>
        <w:rPr>
          <w:lang w:val="nl-NL"/>
        </w:rPr>
      </w:pPr>
      <w:r>
        <w:rPr>
          <w:lang w:val="nl-NL"/>
        </w:rPr>
        <w:t>1971</w:t>
      </w:r>
    </w:p>
    <w:p>
      <w:pPr>
        <w:pStyle w:val="T1"/>
        <w:jc w:val="start"/>
        <w:rPr>
          <w:lang w:val="nl-NL"/>
        </w:rPr>
      </w:pPr>
      <w:r>
        <w:rPr>
          <w:lang w:val="nl-NL"/>
        </w:rPr>
        <w:t>.</w:t>
        <w:tab/>
        <w:t>kerkgebouw gesloten</w:t>
      </w:r>
    </w:p>
    <w:p>
      <w:pPr>
        <w:pStyle w:val="T1"/>
        <w:jc w:val="start"/>
        <w:rPr>
          <w:lang w:val="nl-NL"/>
        </w:rPr>
      </w:pPr>
      <w:r>
        <w:rPr>
          <w:lang w:val="nl-NL"/>
        </w:rPr>
      </w:r>
    </w:p>
    <w:p>
      <w:pPr>
        <w:pStyle w:val="T1"/>
        <w:jc w:val="start"/>
        <w:rPr>
          <w:lang w:val="nl-NL"/>
        </w:rPr>
      </w:pPr>
      <w:r>
        <w:rPr>
          <w:lang w:val="nl-NL"/>
        </w:rPr>
        <w:t>K.B. Blank &amp; Zn 1972</w:t>
      </w:r>
    </w:p>
    <w:p>
      <w:pPr>
        <w:pStyle w:val="T1"/>
        <w:jc w:val="start"/>
        <w:rPr>
          <w:lang w:val="nl-NL"/>
        </w:rPr>
      </w:pPr>
      <w:r>
        <w:rPr>
          <w:lang w:val="nl-NL"/>
        </w:rPr>
        <w:t>.</w:t>
        <w:tab/>
        <w:t>orgel overgeplaatst naar R.K. Kerk O.L.V. Koningin van de Vrede te Amsterdam</w:t>
      </w:r>
    </w:p>
    <w:p>
      <w:pPr>
        <w:pStyle w:val="T1"/>
        <w:jc w:val="start"/>
        <w:rPr>
          <w:lang w:val="nl-NL"/>
        </w:rPr>
      </w:pPr>
      <w:r>
        <w:rPr>
          <w:lang w:val="nl-NL"/>
        </w:rPr>
        <w:t>.</w:t>
        <w:tab/>
        <w:t>onderkas ingekort</w:t>
      </w:r>
    </w:p>
    <w:p>
      <w:pPr>
        <w:pStyle w:val="T1"/>
        <w:jc w:val="start"/>
        <w:rPr>
          <w:lang w:val="nl-NL"/>
        </w:rPr>
      </w:pPr>
      <w:r>
        <w:rPr>
          <w:lang w:val="nl-NL"/>
        </w:rPr>
        <w:t>.</w:t>
        <w:tab/>
        <w:t>windvoorziening verplaatst naar ruimte achter het orgel</w:t>
      </w:r>
    </w:p>
    <w:p>
      <w:pPr>
        <w:pStyle w:val="T1"/>
        <w:jc w:val="start"/>
        <w:rPr>
          <w:lang w:val="nl-NL"/>
        </w:rPr>
      </w:pPr>
      <w:r>
        <w:rPr>
          <w:lang w:val="nl-NL"/>
        </w:rPr>
        <w:t>.</w:t>
        <w:tab/>
        <w:t>lade Ped gerestaureerd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797" w:type="dxa"/>
        <w:jc w:val="start"/>
        <w:tblInd w:w="-70" w:type="dxa"/>
        <w:tblLayout w:type="fixed"/>
        <w:tblCellMar>
          <w:top w:w="0" w:type="dxa"/>
          <w:start w:w="70" w:type="dxa"/>
          <w:bottom w:w="0" w:type="dxa"/>
          <w:end w:w="70" w:type="dxa"/>
        </w:tblCellMar>
      </w:tblPr>
      <w:tblGrid>
        <w:gridCol w:w="1475"/>
        <w:gridCol w:w="766"/>
        <w:gridCol w:w="1429"/>
        <w:gridCol w:w="488"/>
        <w:gridCol w:w="997"/>
        <w:gridCol w:w="642"/>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Quintadeen</w:t>
            </w:r>
          </w:p>
          <w:p>
            <w:pPr>
              <w:pStyle w:val="T4dispositie"/>
              <w:rPr>
                <w:lang w:val="nl-NL"/>
              </w:rPr>
            </w:pPr>
            <w:r>
              <w:rPr>
                <w:lang w:val="nl-NL"/>
              </w:rPr>
              <w:t>Octaaf</w:t>
            </w:r>
          </w:p>
          <w:p>
            <w:pPr>
              <w:pStyle w:val="T4dispositie"/>
              <w:rPr>
                <w:lang w:val="nl-NL"/>
              </w:rPr>
            </w:pPr>
            <w:r>
              <w:rPr>
                <w:lang w:val="nl-NL"/>
              </w:rPr>
              <w:t>Gemshoorn</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2-4 st.</w:t>
            </w:r>
          </w:p>
          <w:p>
            <w:pPr>
              <w:pStyle w:val="T4dispositie"/>
              <w:rPr>
                <w:lang w:val="nl-NL"/>
              </w:rPr>
            </w:pPr>
            <w:r>
              <w:rPr>
                <w:lang w:val="nl-NL"/>
              </w:rPr>
              <w:t>8'</w:t>
            </w:r>
          </w:p>
        </w:tc>
        <w:tc>
          <w:tcPr>
            <w:tcW w:w="1429" w:type="dxa"/>
            <w:tcBorders/>
          </w:tcPr>
          <w:p>
            <w:pPr>
              <w:pStyle w:val="T4dispositie"/>
              <w:rPr>
                <w:i/>
                <w:i/>
                <w:iCs/>
                <w:lang w:val="nl-NL"/>
              </w:rPr>
            </w:pPr>
            <w:r>
              <w:rPr>
                <w:i/>
                <w:iCs/>
                <w:lang w:val="nl-NL"/>
              </w:rPr>
              <w:t>Bovenwerk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Salicet</w:t>
            </w:r>
          </w:p>
          <w:p>
            <w:pPr>
              <w:pStyle w:val="T4dispositie"/>
              <w:rPr>
                <w:lang w:val="nl-NL"/>
              </w:rPr>
            </w:pPr>
            <w:r>
              <w:rPr>
                <w:lang w:val="nl-NL"/>
              </w:rPr>
              <w:t>Viola</w:t>
            </w:r>
          </w:p>
          <w:p>
            <w:pPr>
              <w:pStyle w:val="T4dispositie"/>
              <w:rPr>
                <w:lang w:val="nl-NL"/>
              </w:rPr>
            </w:pPr>
            <w:r>
              <w:rPr>
                <w:lang w:val="nl-NL"/>
              </w:rPr>
              <w:t>Open Fluit</w:t>
            </w:r>
          </w:p>
          <w:p>
            <w:pPr>
              <w:pStyle w:val="T4dispositie"/>
              <w:rPr>
                <w:lang w:val="nl-NL"/>
              </w:rPr>
            </w:pPr>
            <w:r>
              <w:rPr>
                <w:lang w:val="nl-NL"/>
              </w:rPr>
              <w:t>Gemshoorn</w:t>
            </w:r>
          </w:p>
          <w:p>
            <w:pPr>
              <w:pStyle w:val="T4dispositie"/>
              <w:rPr>
                <w:lang w:val="nl-NL"/>
              </w:rPr>
            </w:pPr>
            <w:r>
              <w:rPr>
                <w:lang w:val="nl-NL"/>
              </w:rPr>
              <w:t>Salicet</w:t>
            </w:r>
          </w:p>
          <w:p>
            <w:pPr>
              <w:pStyle w:val="T4dispositie"/>
              <w:rPr>
                <w:lang w:val="nl-NL"/>
              </w:rPr>
            </w:pPr>
            <w:r>
              <w:rPr>
                <w:lang w:val="nl-NL"/>
              </w:rPr>
              <w:t>Flageolet</w:t>
            </w:r>
          </w:p>
          <w:p>
            <w:pPr>
              <w:pStyle w:val="T4dispositie"/>
              <w:rPr>
                <w:lang w:val="nl-NL"/>
              </w:rPr>
            </w:pPr>
            <w:r>
              <w:rPr>
                <w:lang w:val="nl-NL"/>
              </w:rPr>
              <w:t>Scherp</w:t>
            </w:r>
          </w:p>
          <w:p>
            <w:pPr>
              <w:pStyle w:val="T4dispositie"/>
              <w:rPr>
                <w:lang w:val="nl-NL"/>
              </w:rPr>
            </w:pPr>
            <w:r>
              <w:rPr>
                <w:lang w:val="nl-NL"/>
              </w:rPr>
              <w:t>Dulciaan</w:t>
            </w:r>
          </w:p>
        </w:tc>
        <w:tc>
          <w:tcPr>
            <w:tcW w:w="4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997"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Bourdon</w:t>
            </w:r>
          </w:p>
          <w:p>
            <w:pPr>
              <w:pStyle w:val="T4dispositie"/>
              <w:rPr>
                <w:lang w:val="nl-NL"/>
              </w:rPr>
            </w:pPr>
            <w:r>
              <w:rPr>
                <w:lang w:val="nl-NL"/>
              </w:rPr>
              <w:t>Fagot</w:t>
            </w:r>
          </w:p>
        </w:tc>
        <w:tc>
          <w:tcPr>
            <w:tcW w:w="6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 in werkelijkheid 8'</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 HW, pedaalkoppel BW</w:t>
      </w:r>
    </w:p>
    <w:p>
      <w:pPr>
        <w:pStyle w:val="T1"/>
        <w:jc w:val="start"/>
        <w:rPr>
          <w:lang w:val="nl-NL"/>
        </w:rPr>
      </w:pPr>
      <w:r>
        <w:rPr>
          <w:lang w:val="nl-NL"/>
        </w:rPr>
        <w:t>tremuland</w:t>
      </w:r>
    </w:p>
    <w:p>
      <w:pPr>
        <w:pStyle w:val="T1"/>
        <w:jc w:val="start"/>
        <w:rPr>
          <w:lang w:val="nl-NL"/>
        </w:rPr>
      </w:pPr>
      <w:r>
        <w:rPr>
          <w:lang w:val="nl-NL"/>
        </w:rPr>
        <w:t>ventiel</w:t>
      </w:r>
    </w:p>
    <w:p>
      <w:pPr>
        <w:pStyle w:val="T1"/>
        <w:jc w:val="start"/>
        <w:rPr>
          <w:lang w:val="nl-NL"/>
        </w:rPr>
      </w:pPr>
      <w:r>
        <w:rPr>
          <w:lang w:val="nl-NL"/>
        </w:rPr>
        <w:t>calcant</w:t>
      </w:r>
    </w:p>
    <w:p>
      <w:pPr>
        <w:pStyle w:val="T1"/>
        <w:jc w:val="start"/>
        <w:rPr>
          <w:lang w:val="nl-NL"/>
        </w:rPr>
      </w:pPr>
      <w:r>
        <w:rPr>
          <w:lang w:val="nl-NL"/>
        </w:rPr>
      </w:r>
    </w:p>
    <w:p>
      <w:pPr>
        <w:pStyle w:val="T1"/>
        <w:jc w:val="start"/>
        <w:rPr>
          <w:lang w:val="nl-NL"/>
        </w:rPr>
      </w:pPr>
      <w:r>
        <w:rPr>
          <w:lang w:val="nl-NL"/>
        </w:rPr>
        <w:t>Samenstelling vulstemmen</w:t>
      </w:r>
    </w:p>
    <w:tbl>
      <w:tblPr>
        <w:tblW w:w="4299" w:type="dxa"/>
        <w:jc w:val="start"/>
        <w:tblInd w:w="-70" w:type="dxa"/>
        <w:tblLayout w:type="fixed"/>
        <w:tblCellMar>
          <w:top w:w="0" w:type="dxa"/>
          <w:start w:w="70" w:type="dxa"/>
          <w:bottom w:w="0" w:type="dxa"/>
          <w:end w:w="70" w:type="dxa"/>
        </w:tblCellMar>
      </w:tblPr>
      <w:tblGrid>
        <w:gridCol w:w="948"/>
        <w:gridCol w:w="668"/>
        <w:gridCol w:w="668"/>
        <w:gridCol w:w="679"/>
        <w:gridCol w:w="668"/>
        <w:gridCol w:w="668"/>
      </w:tblGrid>
      <w:tr>
        <w:trPr/>
        <w:tc>
          <w:tcPr>
            <w:tcW w:w="948" w:type="dxa"/>
            <w:tcBorders/>
          </w:tcPr>
          <w:p>
            <w:pPr>
              <w:pStyle w:val="T1"/>
              <w:jc w:val="start"/>
              <w:rPr>
                <w:lang w:val="nl-NL"/>
              </w:rPr>
            </w:pPr>
            <w:r>
              <w:rPr>
                <w:lang w:val="nl-NL"/>
              </w:rPr>
              <w:t>Mixtuur</w:t>
            </w:r>
          </w:p>
        </w:tc>
        <w:tc>
          <w:tcPr>
            <w:tcW w:w="66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79"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68"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4930" w:type="dxa"/>
        <w:jc w:val="start"/>
        <w:tblInd w:w="-70" w:type="dxa"/>
        <w:tblLayout w:type="fixed"/>
        <w:tblCellMar>
          <w:top w:w="0" w:type="dxa"/>
          <w:start w:w="70" w:type="dxa"/>
          <w:bottom w:w="0" w:type="dxa"/>
          <w:end w:w="70" w:type="dxa"/>
        </w:tblCellMar>
      </w:tblPr>
      <w:tblGrid>
        <w:gridCol w:w="1510"/>
        <w:gridCol w:w="720"/>
        <w:gridCol w:w="540"/>
        <w:gridCol w:w="720"/>
        <w:gridCol w:w="720"/>
        <w:gridCol w:w="720"/>
      </w:tblGrid>
      <w:tr>
        <w:trPr/>
        <w:tc>
          <w:tcPr>
            <w:tcW w:w="1510" w:type="dxa"/>
            <w:tcBorders/>
          </w:tcPr>
          <w:p>
            <w:pPr>
              <w:pStyle w:val="T1"/>
              <w:jc w:val="start"/>
              <w:rPr>
                <w:lang w:val="nl-NL"/>
              </w:rPr>
            </w:pPr>
            <w:r>
              <w:rPr>
                <w:lang w:val="nl-NL"/>
              </w:rPr>
              <w:t>Scherp BW</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tc>
        <w:tc>
          <w:tcPr>
            <w:tcW w:w="540" w:type="dxa"/>
            <w:tcBorders/>
          </w:tcPr>
          <w:p>
            <w:pPr>
              <w:pStyle w:val="T4dispositie"/>
              <w:rPr>
                <w:lang w:val="nl-NL"/>
              </w:rPr>
            </w:pPr>
            <w:r>
              <w:rPr>
                <w:lang w:val="nl-NL"/>
              </w:rPr>
              <w:t>G</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20" w:type="dxa"/>
            <w:tcBorders/>
          </w:tcPr>
          <w:p>
            <w:pPr>
              <w:pStyle w:val="T4dispositie"/>
              <w:rPr>
                <w:lang w:val="nl-NL"/>
              </w:rPr>
            </w:pPr>
            <w:r>
              <w:rPr>
                <w:lang w:val="nl-NL"/>
              </w:rPr>
              <w:t>g</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pPr>
            <w:r>
              <w:rPr>
                <w:lang w:val="nl-NL"/>
              </w:rPr>
              <w:t>g</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g</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twee schepbalgen (1887) en regulateur voor BW</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windvoorziening bevindt zich in een ruimte achter het orgel. De originele balanstrapinstallatie is verwijderd, maar wordt bij het orgel bewaard.</w:t>
      </w:r>
    </w:p>
    <w:p>
      <w:pPr>
        <w:pStyle w:val="T1"/>
        <w:jc w:val="start"/>
        <w:rPr>
          <w:lang w:val="nl-NL"/>
        </w:rPr>
      </w:pPr>
      <w:r>
        <w:rPr>
          <w:lang w:val="nl-NL"/>
        </w:rPr>
        <w:t>De registerknoppen van HW en BW zijn in twee horizontale rijen boven de lessenaarbak geplaatst. De knoppen voor de werktuiglijke registers bevinden zich links, die voor de pedaalregisters rechts van de klaviatuur. De registeropschriften zijn op witte porseleinen plaatjes, bevestigd op de knoppen, aangebracht.</w:t>
      </w:r>
    </w:p>
    <w:p>
      <w:pPr>
        <w:pStyle w:val="T1"/>
        <w:jc w:val="start"/>
        <w:rPr>
          <w:lang w:val="nl-NL"/>
        </w:rPr>
      </w:pPr>
      <w:r>
        <w:rPr>
          <w:lang w:val="nl-NL"/>
        </w:rPr>
        <w:t>Het pijpwerk op de windladen van de manualen staat als volgt opgesteld: C en Cis in het midden, het vervolg in hele tonen naar weerszijden aflopend. Bij de lade van het Ped staat C aan de zijkant; het vervolg chromatisch aflopend tot c, de kleinere pijpen in tegenbeweging eveneens chromatisch aflopend, waarbij de cancellen van de grotere pijpen liggen tussen die van de kleinere.</w:t>
      </w:r>
    </w:p>
    <w:p>
      <w:pPr>
        <w:pStyle w:val="T1"/>
        <w:jc w:val="start"/>
        <w:rPr/>
      </w:pPr>
      <w:r>
        <w:rPr>
          <w:lang w:val="nl-NL"/>
        </w:rPr>
        <w:t>C-f van de Prestant 16' (HW) staan in het front (tin), het vervolg staat op de lade (orgelmetaal). Het gehele register heeft expressions. De Prestant 8' staat van C-Fis in het front (tin), het vervolg staat op de lade. C-f</w:t>
      </w:r>
      <w:r>
        <w:rPr>
          <w:vertAlign w:val="superscript"/>
          <w:lang w:val="nl-NL"/>
        </w:rPr>
        <w:t>2</w:t>
      </w:r>
      <w:r>
        <w:rPr>
          <w:lang w:val="nl-NL"/>
        </w:rPr>
        <w:t xml:space="preserve"> hebben expressions. C-B van de Roerfluit 8' zijn van eiken, gedekt, het vervolg is van orgelmetaal, gedekt, met roeren. De Quintadeen 8' is van orgelmetaal, gedekt. De Gemshoorn 4' is van orgelmetaal, open, conisch. De Octaaf 4', de Quint 3', de Octaaf 2' en de Mixtuur zijn van orgelmetaal. Expressions zijn aanwezig bij C-f</w:t>
      </w:r>
      <w:r>
        <w:rPr>
          <w:szCs w:val="24"/>
          <w:vertAlign w:val="superscript"/>
          <w:lang w:val="nl-NL"/>
        </w:rPr>
        <w:t>1</w:t>
      </w:r>
      <w:r>
        <w:rPr>
          <w:lang w:val="nl-NL"/>
        </w:rPr>
        <w:t xml:space="preserve"> van de Octaaf 4', C-b van de Quint 3', C-f van de Octaaf 2' en de grotere pijpen van de Mixtuur. De Trompet 8' heeft metalen stevels, koppen en bekers. De kelen en tongen zijn van messing, evenals de band om de stevels.</w:t>
      </w:r>
    </w:p>
    <w:p>
      <w:pPr>
        <w:pStyle w:val="T1"/>
        <w:jc w:val="start"/>
        <w:rPr/>
      </w:pPr>
      <w:r>
        <w:rPr>
          <w:lang w:val="nl-NL"/>
        </w:rPr>
        <w:t>C-f</w:t>
      </w:r>
      <w:r>
        <w:rPr>
          <w:szCs w:val="24"/>
          <w:vertAlign w:val="superscript"/>
          <w:lang w:val="nl-NL"/>
        </w:rPr>
        <w:t>2</w:t>
      </w:r>
      <w:r>
        <w:rPr>
          <w:lang w:val="nl-NL"/>
        </w:rPr>
        <w:t xml:space="preserve"> van de Salicet 8' (BW) zijn voorzien van expressions. C-c van de Holfluit 8' zijn van eiken, gedekt, het vervolg is van orgelmetaal, gedekt. De Viola 8' is van C-c gecombineerd met de Salicet 8', het vervolg is van tin en van cis-h</w:t>
      </w:r>
      <w:r>
        <w:rPr>
          <w:szCs w:val="24"/>
          <w:vertAlign w:val="superscript"/>
          <w:lang w:val="nl-NL"/>
        </w:rPr>
        <w:t>2</w:t>
      </w:r>
      <w:r>
        <w:rPr>
          <w:lang w:val="nl-NL"/>
        </w:rPr>
        <w:t xml:space="preserve"> voorzien van expressions. De Gemshoorn 8' is van orgelmetaal, open, conisch. De Open Fluit 4' en de Salicet 4' zijn van orgelmetaal, open en van C-f</w:t>
      </w:r>
      <w:r>
        <w:rPr>
          <w:szCs w:val="24"/>
          <w:vertAlign w:val="superscript"/>
          <w:lang w:val="nl-NL"/>
        </w:rPr>
        <w:t>1</w:t>
      </w:r>
      <w:r>
        <w:rPr>
          <w:lang w:val="nl-NL"/>
        </w:rPr>
        <w:t xml:space="preserve"> voorzien van expressions. Bij de Flageolet 2' zijn expressions aangebracht van C-f. De Dulciaan 8' heeft metalen stevels en koppen en tinnen bekers. De kelen en tongen zijn van messing, evenals de band om de stevels. De Scherp staat op de oorspronkelijke plaats van de Dulciaan; dit laatste register staat op een kantsleep.</w:t>
      </w:r>
    </w:p>
    <w:p>
      <w:pPr>
        <w:pStyle w:val="T1"/>
        <w:jc w:val="start"/>
        <w:rPr/>
      </w:pPr>
      <w:r>
        <w:rPr>
          <w:lang w:val="nl-NL"/>
        </w:rPr>
        <w:t>De Subbas 16' van het Ped is van grenen, open. De Octaaf 8' is van orgelmetaal en geheel voorzien van expressions. De Bourdon 8' is van orgelmetaal, gedekt. Van de Fagot 16' zijn de stevels, de bekers en de koppen voor E-d</w:t>
      </w:r>
      <w:r>
        <w:rPr>
          <w:szCs w:val="24"/>
          <w:vertAlign w:val="superscript"/>
          <w:lang w:val="nl-NL"/>
        </w:rPr>
        <w:t>1</w:t>
      </w:r>
      <w:r>
        <w:rPr>
          <w:lang w:val="nl-NL"/>
        </w:rPr>
        <w:t xml:space="preserve"> van orgelmetaal; de overige koppen zijn van hout.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2007-02-12T12:16:00Z</dcterms:created>
  <dc:creator>WS1</dc:creator>
  <dc:description/>
  <dc:language>en-US</dc:language>
  <cp:lastModifiedBy>WS1</cp:lastModifiedBy>
  <dcterms:modified xsi:type="dcterms:W3CDTF">2007-02-12T12:16:00Z</dcterms:modified>
  <cp:revision>2</cp:revision>
  <dc:subject/>
  <dc:title>Geervliet / 1874</dc:title>
</cp:coreProperties>
</file>