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Zieuwent / 1887</w:t>
      </w:r>
    </w:p>
    <w:p>
      <w:pPr>
        <w:pStyle w:val="Heading2"/>
        <w:rPr>
          <w:i w:val="false"/>
          <w:i w:val="false"/>
          <w:iCs/>
        </w:rPr>
      </w:pPr>
      <w:r>
        <w:rPr>
          <w:i w:val="false"/>
          <w:iCs/>
        </w:rPr>
        <w:t>R.K. St-Werenfriduskerk</w:t>
      </w:r>
    </w:p>
    <w:p>
      <w:pPr>
        <w:pStyle w:val="T1"/>
        <w:jc w:val="start"/>
        <w:rPr>
          <w:i/>
          <w:i/>
          <w:iCs/>
          <w:lang w:val="nl-NL"/>
        </w:rPr>
      </w:pPr>
      <w:r>
        <w:rPr>
          <w:i/>
          <w:iCs/>
          <w:lang w:val="nl-NL"/>
        </w:rPr>
      </w:r>
    </w:p>
    <w:p>
      <w:pPr>
        <w:pStyle w:val="T1"/>
        <w:jc w:val="start"/>
        <w:rPr>
          <w:i/>
          <w:i/>
          <w:iCs/>
          <w:lang w:val="nl-NL"/>
        </w:rPr>
      </w:pPr>
      <w:r>
        <w:rPr>
          <w:i/>
          <w:iCs/>
          <w:lang w:val="nl-NL"/>
        </w:rPr>
        <w:t>Monumentale neogotische kruisbasiliek met rijk versierde westtoren, gebouwd 1898-1899, naar ontwerp van J.J. Boerbooms. Inwendig netgewelven in de middenbeuk en een stergewelf in de kruising. Inrichting voor een belangrijk deel afkomstig van het atelier van F.W. Mengelberg.</w:t>
      </w:r>
    </w:p>
    <w:p>
      <w:pPr>
        <w:pStyle w:val="T1"/>
        <w:jc w:val="start"/>
        <w:rPr>
          <w:i/>
          <w:i/>
          <w:iCs/>
          <w:lang w:val="nl-NL"/>
        </w:rPr>
      </w:pPr>
      <w:r>
        <w:rPr>
          <w:i/>
          <w:iCs/>
          <w:lang w:val="nl-NL"/>
        </w:rPr>
      </w:r>
    </w:p>
    <w:p>
      <w:pPr>
        <w:pStyle w:val="T1"/>
        <w:jc w:val="start"/>
        <w:rPr>
          <w:lang w:val="nl-NL"/>
        </w:rPr>
      </w:pPr>
      <w:r>
        <w:rPr>
          <w:lang w:val="nl-NL"/>
        </w:rPr>
        <w:t>Kas: 1887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betrekkelijk rijke variant van het in de 19e eeuw veel toegepaste frontmodel met velden met wimbergen. Het is vijfdelig en omvat drie vlakke velden, elk bekroond door een wimberg. Tussen middenveld en zijvelden zijn tussenvelden ingevoegd, die met een halve boog worden afgesloten. Het middelste veld is het rijkst gedecoreerd. De toten eindigen in een bloemvormig ornament. De opengewerkte wimberg is voorzien van een rozet en van hogels en van 'schouderstukken' met een opengewerkt boogfries. De zijvelden hebben toten van hetzelfde model als het middenveld. In de boogzwikken is een driepas te zien. Daarboven ziet men een opengewerkt rechthoekig gedeelte dat wordt doorsneden door voluut. Daarboven is ook weer een wimberg aangebracht. De zijvelden ten slotte zijn veel soberder behandeld. Slechts twee ongedecoreerde toten sluiten het pijpveld af. De wimbergen, die op dezelfde wijze zijn ingepakt als de wimberg bij het middenveld, bevatten een rozet met vierpas. Overal zijn kwistig pinakels en kruisbloemen aangebracht. De onderkas is voorzien van briefpanelen. In de overgang tussen boven- en onderkas is liggend traceerwerk te zien.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J.F. van Os, </w:t>
      </w:r>
      <w:r>
        <w:rPr>
          <w:i/>
          <w:iCs/>
          <w:lang w:val="nl-NL"/>
        </w:rPr>
        <w:t>Oude orgels in Oost-Gelderland</w:t>
      </w:r>
      <w:r>
        <w:rPr>
          <w:lang w:val="nl-NL"/>
        </w:rPr>
        <w:t>. Elburg, 2003, 176-177.</w:t>
      </w:r>
    </w:p>
    <w:p>
      <w:pPr>
        <w:pStyle w:val="T3Lit"/>
        <w:jc w:val="start"/>
        <w:rPr>
          <w:lang w:val="nl-NL"/>
        </w:rPr>
      </w:pPr>
      <w:r>
        <w:rPr>
          <w:lang w:val="nl-NL"/>
        </w:rPr>
      </w:r>
    </w:p>
    <w:p>
      <w:pPr>
        <w:pStyle w:val="T3Lit"/>
        <w:jc w:val="start"/>
        <w:rPr>
          <w:lang w:val="nl-NL"/>
        </w:rPr>
      </w:pPr>
      <w:r>
        <w:rPr>
          <w:lang w:val="nl-NL"/>
        </w:rPr>
        <w:t>Monumentnummer 25826</w:t>
      </w:r>
    </w:p>
    <w:p>
      <w:pPr>
        <w:pStyle w:val="T3Lit"/>
        <w:jc w:val="start"/>
        <w:rPr>
          <w:lang w:val="nl-NL"/>
        </w:rPr>
      </w:pPr>
      <w:r>
        <w:rPr>
          <w:lang w:val="nl-NL"/>
        </w:rPr>
        <w:t>Orgelnummer 1758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Fr. Eggert</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Harreveld, Franciscanerklooster</w:t>
      </w:r>
    </w:p>
    <w:p>
      <w:pPr>
        <w:pStyle w:val="T1"/>
        <w:jc w:val="start"/>
        <w:rPr>
          <w:lang w:val="nl-NL"/>
        </w:rPr>
      </w:pPr>
      <w:r>
        <w:rPr>
          <w:lang w:val="nl-NL"/>
        </w:rPr>
      </w:r>
    </w:p>
    <w:p>
      <w:pPr>
        <w:pStyle w:val="T1"/>
        <w:jc w:val="start"/>
        <w:rPr>
          <w:lang w:val="nl-NL"/>
        </w:rPr>
      </w:pPr>
      <w:r>
        <w:rPr>
          <w:lang w:val="nl-NL"/>
        </w:rPr>
        <w:t>Maarschalkerweerd &amp; Zn 1916</w:t>
      </w:r>
    </w:p>
    <w:p>
      <w:pPr>
        <w:pStyle w:val="T1"/>
        <w:jc w:val="start"/>
        <w:rPr>
          <w:lang w:val="nl-NL"/>
        </w:rPr>
      </w:pPr>
      <w:r>
        <w:rPr>
          <w:lang w:val="nl-NL"/>
        </w:rPr>
        <w:t>.</w:t>
        <w:tab/>
        <w:t>orgel geplaatst te Zieuwent, R.K. St-Werenfriduskerk</w:t>
      </w:r>
    </w:p>
    <w:p>
      <w:pPr>
        <w:pStyle w:val="T1"/>
        <w:jc w:val="start"/>
        <w:rPr>
          <w:lang w:val="nl-NL"/>
        </w:rPr>
      </w:pPr>
      <w:r>
        <w:rPr>
          <w:lang w:val="nl-NL"/>
        </w:rPr>
      </w:r>
    </w:p>
    <w:p>
      <w:pPr>
        <w:pStyle w:val="T1"/>
        <w:jc w:val="start"/>
        <w:rPr>
          <w:lang w:val="nl-NL"/>
        </w:rPr>
      </w:pPr>
      <w:r>
        <w:rPr>
          <w:lang w:val="nl-NL"/>
        </w:rPr>
        <w:t>J.J. Elbertse &amp; Zn 1974</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dispositiewijzigingen:</w:t>
      </w:r>
    </w:p>
    <w:p>
      <w:pPr>
        <w:pStyle w:val="T1"/>
        <w:ind w:firstLine="708"/>
        <w:jc w:val="start"/>
        <w:rPr>
          <w:lang w:val="nl-NL"/>
        </w:rPr>
      </w:pPr>
      <w:r>
        <w:rPr>
          <w:lang w:val="nl-NL"/>
        </w:rPr>
        <w:t>HW - Dolce 8', + Sifflet 1'</w:t>
      </w:r>
    </w:p>
    <w:p>
      <w:pPr>
        <w:pStyle w:val="T1"/>
        <w:jc w:val="start"/>
        <w:rPr>
          <w:lang w:val="nl-NL"/>
        </w:rPr>
      </w:pPr>
      <w:r>
        <w:rPr>
          <w:lang w:val="nl-NL"/>
        </w:rPr>
        <w:tab/>
        <w:t>OP Salicional 8' $ Quint 2 2/3', Gemshorn 4' $ Gemshorn 2'</w:t>
      </w:r>
    </w:p>
    <w:p>
      <w:pPr>
        <w:pStyle w:val="T1"/>
        <w:jc w:val="start"/>
        <w:rPr>
          <w:lang w:val="nl-NL"/>
        </w:rPr>
      </w:pPr>
      <w:r>
        <w:rPr>
          <w:lang w:val="nl-NL"/>
        </w:rPr>
        <w:tab/>
        <w:t>Ped Cello 8' $ Melofoon 4'</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onderpositief, pedaal</w:t>
      </w:r>
    </w:p>
    <w:p>
      <w:pPr>
        <w:pStyle w:val="T1"/>
        <w:jc w:val="start"/>
        <w:rPr>
          <w:lang w:val="nl-NL"/>
        </w:rPr>
      </w:pPr>
      <w:r>
        <w:rPr>
          <w:lang w:val="nl-NL"/>
        </w:rPr>
      </w:r>
    </w:p>
    <w:p>
      <w:pPr>
        <w:pStyle w:val="T1"/>
        <w:jc w:val="start"/>
        <w:rPr/>
      </w:pPr>
      <w:r>
        <w:rPr/>
        <w:t>Dispositie</w:t>
      </w:r>
    </w:p>
    <w:tbl>
      <w:tblPr>
        <w:tblW w:w="6501" w:type="dxa"/>
        <w:jc w:val="start"/>
        <w:tblInd w:w="-70" w:type="dxa"/>
        <w:tblLayout w:type="fixed"/>
        <w:tblCellMar>
          <w:top w:w="0" w:type="dxa"/>
          <w:start w:w="70" w:type="dxa"/>
          <w:bottom w:w="0" w:type="dxa"/>
          <w:end w:w="70" w:type="dxa"/>
        </w:tblCellMar>
      </w:tblPr>
      <w:tblGrid>
        <w:gridCol w:w="1600"/>
        <w:gridCol w:w="825"/>
        <w:gridCol w:w="1605"/>
        <w:gridCol w:w="713"/>
        <w:gridCol w:w="1266"/>
        <w:gridCol w:w="492"/>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Bordun</w:t>
            </w:r>
          </w:p>
          <w:p>
            <w:pPr>
              <w:pStyle w:val="T4dispositie"/>
              <w:jc w:val="start"/>
              <w:rPr>
                <w:lang w:val="nl-NL"/>
              </w:rPr>
            </w:pPr>
            <w:r>
              <w:rPr>
                <w:lang w:val="nl-NL"/>
              </w:rPr>
              <w:t>Principal</w:t>
            </w:r>
          </w:p>
          <w:p>
            <w:pPr>
              <w:pStyle w:val="T4dispositie"/>
              <w:jc w:val="start"/>
              <w:rPr>
                <w:lang w:val="nl-NL"/>
              </w:rPr>
            </w:pPr>
            <w:r>
              <w:rPr>
                <w:lang w:val="nl-NL"/>
              </w:rPr>
              <w:t>Gedackt</w:t>
            </w:r>
          </w:p>
          <w:p>
            <w:pPr>
              <w:pStyle w:val="T4dispositie"/>
              <w:jc w:val="start"/>
              <w:rPr>
                <w:lang w:val="nl-NL"/>
              </w:rPr>
            </w:pPr>
            <w:r>
              <w:rPr>
                <w:lang w:val="nl-NL"/>
              </w:rPr>
              <w:t>Gambe</w:t>
            </w:r>
          </w:p>
          <w:p>
            <w:pPr>
              <w:pStyle w:val="T4dispositie"/>
              <w:jc w:val="start"/>
              <w:rPr>
                <w:lang w:val="nl-NL"/>
              </w:rPr>
            </w:pPr>
            <w:r>
              <w:rPr>
                <w:lang w:val="nl-NL"/>
              </w:rPr>
              <w:t>Octave</w:t>
            </w:r>
          </w:p>
          <w:p>
            <w:pPr>
              <w:pStyle w:val="T4dispositie"/>
              <w:jc w:val="start"/>
              <w:rPr>
                <w:lang w:val="nl-NL"/>
              </w:rPr>
            </w:pPr>
            <w:r>
              <w:rPr>
                <w:lang w:val="nl-NL"/>
              </w:rPr>
              <w:t>Rohrflöte</w:t>
            </w:r>
          </w:p>
          <w:p>
            <w:pPr>
              <w:pStyle w:val="T4dispositie"/>
              <w:jc w:val="start"/>
              <w:rPr>
                <w:lang w:val="nl-NL"/>
              </w:rPr>
            </w:pPr>
            <w:r>
              <w:rPr>
                <w:lang w:val="nl-NL"/>
              </w:rPr>
              <w:t>Octave</w:t>
            </w:r>
          </w:p>
          <w:p>
            <w:pPr>
              <w:pStyle w:val="T4dispositie"/>
              <w:jc w:val="start"/>
              <w:rPr>
                <w:lang w:val="nl-NL"/>
              </w:rPr>
            </w:pPr>
            <w:r>
              <w:rPr>
                <w:lang w:val="nl-NL"/>
              </w:rPr>
              <w:t>Sifflet</w:t>
            </w:r>
          </w:p>
          <w:p>
            <w:pPr>
              <w:pStyle w:val="T4dispositie"/>
              <w:jc w:val="start"/>
              <w:rPr>
                <w:lang w:val="nl-NL"/>
              </w:rPr>
            </w:pPr>
            <w:r>
              <w:rPr>
                <w:lang w:val="nl-NL"/>
              </w:rPr>
              <w:t>Mixtur</w:t>
            </w:r>
          </w:p>
          <w:p>
            <w:pPr>
              <w:pStyle w:val="T4dispositie"/>
              <w:jc w:val="start"/>
              <w:rPr>
                <w:lang w:val="nl-NL"/>
              </w:rPr>
            </w:pPr>
            <w:r>
              <w:rPr>
                <w:lang w:val="nl-NL"/>
              </w:rPr>
              <w:t>Trompete</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4 f.</w:t>
            </w:r>
          </w:p>
          <w:p>
            <w:pPr>
              <w:pStyle w:val="T4dispositie"/>
              <w:jc w:val="start"/>
              <w:rPr>
                <w:lang w:val="nl-NL"/>
              </w:rPr>
            </w:pPr>
            <w:r>
              <w:rPr>
                <w:lang w:val="nl-NL"/>
              </w:rPr>
              <w:t>8'</w:t>
            </w:r>
          </w:p>
        </w:tc>
        <w:tc>
          <w:tcPr>
            <w:tcW w:w="1605" w:type="dxa"/>
            <w:tcBorders/>
          </w:tcPr>
          <w:p>
            <w:pPr>
              <w:pStyle w:val="T4dispositie"/>
              <w:jc w:val="start"/>
              <w:rPr>
                <w:i/>
                <w:i/>
                <w:iCs/>
                <w:lang w:val="nl-NL"/>
              </w:rPr>
            </w:pPr>
            <w:r>
              <w:rPr>
                <w:i/>
                <w:iCs/>
                <w:lang w:val="nl-NL"/>
              </w:rPr>
              <w:t>Onderpositief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Geigenprincipal</w:t>
            </w:r>
          </w:p>
          <w:p>
            <w:pPr>
              <w:pStyle w:val="T4dispositie"/>
              <w:jc w:val="start"/>
              <w:rPr>
                <w:lang w:val="nl-NL"/>
              </w:rPr>
            </w:pPr>
            <w:r>
              <w:rPr>
                <w:lang w:val="nl-NL"/>
              </w:rPr>
              <w:t>Lieblich Gedackt</w:t>
            </w:r>
          </w:p>
          <w:p>
            <w:pPr>
              <w:pStyle w:val="T4dispositie"/>
              <w:jc w:val="start"/>
              <w:rPr>
                <w:lang w:val="nl-NL"/>
              </w:rPr>
            </w:pPr>
            <w:r>
              <w:rPr>
                <w:lang w:val="nl-NL"/>
              </w:rPr>
              <w:t>Flauto amabile</w:t>
            </w:r>
          </w:p>
          <w:p>
            <w:pPr>
              <w:pStyle w:val="T4dispositie"/>
              <w:jc w:val="start"/>
              <w:rPr>
                <w:lang w:val="nl-NL"/>
              </w:rPr>
            </w:pPr>
            <w:r>
              <w:rPr>
                <w:lang w:val="nl-NL"/>
              </w:rPr>
              <w:t>Aeoline</w:t>
            </w:r>
          </w:p>
          <w:p>
            <w:pPr>
              <w:pStyle w:val="T4dispositie"/>
              <w:jc w:val="start"/>
              <w:rPr>
                <w:lang w:val="nl-NL"/>
              </w:rPr>
            </w:pPr>
            <w:r>
              <w:rPr>
                <w:lang w:val="nl-NL"/>
              </w:rPr>
              <w:t>Fl. harmonique</w:t>
            </w:r>
          </w:p>
          <w:p>
            <w:pPr>
              <w:pStyle w:val="T4dispositie"/>
              <w:jc w:val="start"/>
              <w:rPr>
                <w:lang w:val="nl-NL"/>
              </w:rPr>
            </w:pPr>
            <w:r>
              <w:rPr>
                <w:lang w:val="nl-NL"/>
              </w:rPr>
              <w:t>Quint</w:t>
            </w:r>
          </w:p>
          <w:p>
            <w:pPr>
              <w:pStyle w:val="T4dispositie"/>
              <w:jc w:val="start"/>
              <w:rPr>
                <w:lang w:val="nl-NL"/>
              </w:rPr>
            </w:pPr>
            <w:r>
              <w:rPr>
                <w:lang w:val="nl-NL"/>
              </w:rPr>
              <w:t>Gemshorn</w:t>
            </w:r>
          </w:p>
        </w:tc>
        <w:tc>
          <w:tcPr>
            <w:tcW w:w="71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1266" w:type="dxa"/>
            <w:tcBorders/>
          </w:tcPr>
          <w:p>
            <w:pPr>
              <w:pStyle w:val="T4dispositie"/>
              <w:jc w:val="start"/>
              <w:rPr>
                <w:i/>
                <w:i/>
                <w:iCs/>
                <w:lang w:val="nl-NL"/>
              </w:rPr>
            </w:pPr>
            <w:r>
              <w:rPr>
                <w:i/>
                <w:iCs/>
                <w:lang w:val="nl-NL"/>
              </w:rPr>
              <w:t>Pedaal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Violon</w:t>
            </w:r>
          </w:p>
          <w:p>
            <w:pPr>
              <w:pStyle w:val="T4dispositie"/>
              <w:jc w:val="start"/>
              <w:rPr>
                <w:lang w:val="nl-NL"/>
              </w:rPr>
            </w:pPr>
            <w:r>
              <w:rPr>
                <w:lang w:val="nl-NL"/>
              </w:rPr>
              <w:t>Subbass</w:t>
            </w:r>
          </w:p>
          <w:p>
            <w:pPr>
              <w:pStyle w:val="T4dispositie"/>
              <w:jc w:val="start"/>
              <w:rPr>
                <w:lang w:val="nl-NL"/>
              </w:rPr>
            </w:pPr>
            <w:r>
              <w:rPr>
                <w:lang w:val="nl-NL"/>
              </w:rPr>
              <w:t>Oct. Bass</w:t>
            </w:r>
          </w:p>
          <w:p>
            <w:pPr>
              <w:pStyle w:val="T4dispositie"/>
              <w:jc w:val="start"/>
              <w:rPr>
                <w:lang w:val="nl-NL"/>
              </w:rPr>
            </w:pPr>
            <w:r>
              <w:rPr>
                <w:lang w:val="nl-NL"/>
              </w:rPr>
              <w:t>Melofoon</w:t>
            </w:r>
          </w:p>
          <w:p>
            <w:pPr>
              <w:pStyle w:val="T4dispositie"/>
              <w:jc w:val="start"/>
              <w:rPr>
                <w:lang w:val="nl-NL"/>
              </w:rPr>
            </w:pPr>
            <w:r>
              <w:rPr>
                <w:lang w:val="nl-NL"/>
              </w:rPr>
              <w:t>Posaune</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tc>
      </w:tr>
    </w:tbl>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Man Coppel, Ped Coppel</w:t>
      </w:r>
    </w:p>
    <w:p>
      <w:pPr>
        <w:pStyle w:val="T1"/>
        <w:jc w:val="start"/>
        <w:rPr>
          <w:lang w:val="nl-NL"/>
        </w:rPr>
      </w:pPr>
      <w:r>
        <w:rPr>
          <w:lang w:val="nl-NL"/>
        </w:rPr>
        <w:t>trede ad libitum (vrije combinatie)</w:t>
      </w:r>
    </w:p>
    <w:p>
      <w:pPr>
        <w:pStyle w:val="T1"/>
        <w:jc w:val="start"/>
        <w:rPr>
          <w:lang w:val="nl-NL"/>
        </w:rPr>
      </w:pPr>
      <w:r>
        <w:rPr>
          <w:lang w:val="nl-NL"/>
        </w:rPr>
        <w:t>trede tutti</w:t>
      </w:r>
    </w:p>
    <w:p>
      <w:pPr>
        <w:pStyle w:val="T1"/>
        <w:jc w:val="start"/>
        <w:rPr>
          <w:lang w:val="nl-NL"/>
        </w:rPr>
      </w:pPr>
      <w:r>
        <w:rPr>
          <w:lang w:val="nl-NL"/>
        </w:rPr>
        <w:t>oplosser</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2470" w:type="dxa"/>
        <w:jc w:val="start"/>
        <w:tblInd w:w="-70" w:type="dxa"/>
        <w:tblLayout w:type="fixed"/>
        <w:tblCellMar>
          <w:top w:w="0" w:type="dxa"/>
          <w:start w:w="70" w:type="dxa"/>
          <w:bottom w:w="0" w:type="dxa"/>
          <w:end w:w="70" w:type="dxa"/>
        </w:tblCellMar>
      </w:tblPr>
      <w:tblGrid>
        <w:gridCol w:w="1023"/>
        <w:gridCol w:w="729"/>
        <w:gridCol w:w="718"/>
      </w:tblGrid>
      <w:tr>
        <w:trPr/>
        <w:tc>
          <w:tcPr>
            <w:tcW w:w="1023" w:type="dxa"/>
            <w:tcBorders/>
          </w:tcPr>
          <w:p>
            <w:pPr>
              <w:pStyle w:val="T1"/>
              <w:jc w:val="start"/>
              <w:rPr>
                <w:lang w:val="nl-NL"/>
              </w:rPr>
            </w:pPr>
            <w:r>
              <w:rPr>
                <w:lang w:val="nl-NL"/>
              </w:rPr>
              <w:t>Mixtur</w:t>
            </w:r>
          </w:p>
        </w:tc>
        <w:tc>
          <w:tcPr>
            <w:tcW w:w="729"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436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(1887)</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frontzijde en de zijwanden van de orgelkas zijn van eiken. Het dak en het grootste deel van de achterwand zijn van naaldhout.</w:t>
      </w:r>
    </w:p>
    <w:p>
      <w:pPr>
        <w:pStyle w:val="T1"/>
        <w:jc w:val="start"/>
        <w:rPr>
          <w:lang w:val="nl-NL"/>
        </w:rPr>
      </w:pPr>
      <w:r>
        <w:rPr>
          <w:lang w:val="nl-NL"/>
        </w:rPr>
        <w:t>De vrijstaande speeltafel is zo geplaatst dat de organist met zijn rug naar het orgel zit. De registerknopjes zijn in terrassen aan weerzijden van de handklavieren aangebracht en moeten bij het opentrekken iets worden opgetild. Daaronder zijn de knoppen ten behoeve van de vrije combinatie geplaatst. Het knopje voor de Tremulant bevindt zich boven Man II. Boven de teenplank bevinden zich de treden voor Tutti, Vrije Combinatie en de bijbehorende oplosser. Het naamplaatje van ´Orgelbau Anstalt Franz Eggert Paderborn´ is nog aanwezig.</w:t>
      </w:r>
    </w:p>
    <w:p>
      <w:pPr>
        <w:pStyle w:val="T1"/>
        <w:jc w:val="start"/>
        <w:rPr>
          <w:lang w:val="nl-NL"/>
        </w:rPr>
      </w:pPr>
      <w:r>
        <w:rPr>
          <w:lang w:val="nl-NL"/>
        </w:rPr>
        <w:t>Het orgel heeft voor alledrie de werken kegelladen met mechanische toetstractuur en pneumatische registertractuur. De lade van het HW ligt ter hoogte van het front en is ingedeeld in hele tonen vanuit het midden naar weerszijden aflopend. De laden van OP en Ped zijn lager in de kas geplaatst en chromatisch ingedeeld. Tussen deze laden bevindt zich een stemgang.</w:t>
      </w:r>
    </w:p>
    <w:p>
      <w:pPr>
        <w:pStyle w:val="T1"/>
        <w:jc w:val="start"/>
        <w:rPr/>
      </w:pPr>
      <w:r>
        <w:rPr>
          <w:lang w:val="nl-NL"/>
        </w:rPr>
        <w:t>De Principal 8' van het HW staat van C-gis in het front (middenveld en aansluitende velden), het vervolg staat op de lade. Het pijpwerk heeft expressions). De Bordun 16' is geheel van hout (gedekt). Op de plaats van de oorspronkelijke Dolce 8' is in 1974 een nieuwe Sifflet 1' geplaatst. De Gedackt 8' heeft houten pijpen voor C-f</w:t>
      </w:r>
      <w:r>
        <w:rPr>
          <w:vertAlign w:val="superscript"/>
          <w:lang w:val="nl-NL"/>
        </w:rPr>
        <w:t>2</w:t>
      </w:r>
      <w:r>
        <w:rPr>
          <w:lang w:val="nl-NL"/>
        </w:rPr>
        <w:t>, het vervolg is van metaal (gedekt). De Gambe 8' is geheel van metaal, met expressions. Ook de Octave 4' is geheel voorzien van expressions. Het hoogste octaaf van de Rohrflöte 4' is open, conisch. De Octave 2' is gedeeltelijk voorzien van expressions. De Trompete 8' heeft metalen stevels, koppen en bekers. In het hoogste octaaf hebben de bekers dubbele lengte.</w:t>
      </w:r>
    </w:p>
    <w:p>
      <w:pPr>
        <w:pStyle w:val="T1"/>
        <w:jc w:val="start"/>
        <w:rPr/>
      </w:pPr>
      <w:r>
        <w:rPr>
          <w:lang w:val="nl-NL"/>
        </w:rPr>
        <w:t>C-Dis van de Geigenprincipal 8' (OP) zijn van hout, open. E-B staan in het front (rechter veld), het vervolg staat op de lade. Van de Lieblich Gedackt 8' zijn C-f</w:t>
      </w:r>
      <w:r>
        <w:rPr>
          <w:vertAlign w:val="superscript"/>
          <w:lang w:val="nl-NL"/>
        </w:rPr>
        <w:t>2</w:t>
      </w:r>
      <w:r>
        <w:rPr>
          <w:lang w:val="nl-NL"/>
        </w:rPr>
        <w:t xml:space="preserve"> van hout (gedekt), het vervolg is van metaal, open, cilindrisch. De Flauto amabile 8' is van C-H gecombineerd met de Lieblich Gedackt 8', het vervolg is van hout (gedekt). De Aeoline 8' begint op C; de grootste pijpen zijn van zink. De Quint 2 2/3' begint op c en bevat het pijpwerk van de oorspronkelijke Salicional 8' die in 1974 werd ingekort. De Fl. harmonique 4' is van C-h open, cilindrisch (met expressions) en in de discant overblazend. De Gemshorn 2' was oorspronkelijk een vier-voets register. C-f</w:t>
      </w:r>
      <w:r>
        <w:rPr>
          <w:vertAlign w:val="superscript"/>
          <w:lang w:val="nl-NL"/>
        </w:rPr>
        <w:t>2</w:t>
      </w:r>
      <w:r>
        <w:rPr>
          <w:lang w:val="nl-NL"/>
        </w:rPr>
        <w:t xml:space="preserve"> bevatten oud pijpwerk (open, conisch), het overige pijpwerk is cilindrisch.</w:t>
      </w:r>
    </w:p>
    <w:p>
      <w:pPr>
        <w:pStyle w:val="T1"/>
        <w:jc w:val="start"/>
        <w:rPr>
          <w:lang w:val="nl-NL"/>
        </w:rPr>
      </w:pPr>
      <w:r>
        <w:rPr>
          <w:lang w:val="nl-NL"/>
        </w:rPr>
        <w:t>De Violon 16' van het Ped is van hout, open met rolbaarden. De Subbass 16' is van hout, gedekt. De Oct. Bass 8' is geheel van hout, open. De Melofoon 4' bevat het ingekorte pijpwerk van de oorspronkelijke Cello 8'. De Posaune 16' heeft houten stevels en bekers en metalen koppen.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rPr>
      <w:sz w:val="20"/>
    </w:rPr>
  </w:style>
  <w:style w:type="paragraph" w:styleId="Normaalweb">
    <w:name w:val="Normaal (web)"/>
    <w:basedOn w:val="Normal"/>
    <w:qFormat/>
    <w:pPr>
      <w:widowControl/>
      <w:spacing w:before="280" w:after="280"/>
    </w:pPr>
    <w:rPr>
      <w:rFonts w:ascii="Arial Unicode MS" w:hAnsi="Arial Unicode MS" w:eastAsia="Arial Unicode MS" w:cs="Arial Unicode MS"/>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2007-02-12T12:52:00Z</dcterms:created>
  <dc:creator>WS1</dc:creator>
  <dc:description/>
  <dc:language>en-US</dc:language>
  <cp:lastModifiedBy>WS1</cp:lastModifiedBy>
  <cp:lastPrinted>2004-05-14T12:21:00Z</cp:lastPrinted>
  <dcterms:modified xsi:type="dcterms:W3CDTF">2007-02-12T12:52:00Z</dcterms:modified>
  <cp:revision>2</cp:revision>
  <dc:subject/>
  <dc:title>Daarle / 1872</dc:title>
</cp:coreProperties>
</file>