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Einighausen / 1888</w:t>
      </w:r>
    </w:p>
    <w:p>
      <w:pPr>
        <w:pStyle w:val="Heading2"/>
        <w:rPr>
          <w:i w:val="false"/>
          <w:i w:val="false"/>
          <w:iCs/>
        </w:rPr>
      </w:pPr>
      <w:r>
        <w:rPr>
          <w:i w:val="false"/>
          <w:iCs/>
        </w:rPr>
        <w:t>R.K. Kerk Onze Lieve Vrouw Tenhemelopneming</w:t>
      </w:r>
    </w:p>
    <w:p>
      <w:pPr>
        <w:pStyle w:val="T1"/>
        <w:jc w:val="start"/>
        <w:rPr>
          <w:i/>
          <w:i/>
          <w:iCs/>
          <w:lang w:val="nl-NL"/>
        </w:rPr>
      </w:pPr>
      <w:r>
        <w:rPr>
          <w:i/>
          <w:iCs/>
          <w:lang w:val="nl-NL"/>
        </w:rPr>
      </w:r>
    </w:p>
    <w:p>
      <w:pPr>
        <w:pStyle w:val="T1"/>
        <w:jc w:val="start"/>
        <w:rPr>
          <w:i/>
          <w:i/>
          <w:iCs/>
          <w:lang w:val="nl-NL"/>
        </w:rPr>
      </w:pPr>
      <w:r>
        <w:rPr>
          <w:i/>
          <w:iCs/>
          <w:lang w:val="nl-NL"/>
        </w:rPr>
        <w:t>Neoromaanse kruisbasiliek met twee-toren front, gebouwd in 1905-1906 naar ontwerp van C. Franssen. Inwendig kruisribgewelven in schip en zijbeuken en een koepelgewelf over de kruising. Inrichting uit de bouwtijd.</w:t>
      </w:r>
    </w:p>
    <w:p>
      <w:pPr>
        <w:pStyle w:val="T1"/>
        <w:jc w:val="start"/>
        <w:rPr>
          <w:i/>
          <w:i/>
          <w:iCs/>
          <w:lang w:val="nl-NL"/>
        </w:rPr>
      </w:pPr>
      <w:r>
        <w:rPr>
          <w:i/>
          <w:iCs/>
          <w:lang w:val="nl-NL"/>
        </w:rPr>
      </w:r>
    </w:p>
    <w:p>
      <w:pPr>
        <w:pStyle w:val="T1"/>
        <w:jc w:val="start"/>
        <w:rPr>
          <w:lang w:val="nl-NL"/>
        </w:rPr>
      </w:pPr>
      <w:r>
        <w:rPr>
          <w:lang w:val="nl-NL"/>
        </w:rPr>
        <w:t>Kas: 1888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 xml:space="preserve">Een voorbeeld van een veelvuldig door Pereboom &amp; Leijser gebruikt frontmodel met een verhoogd middenveld met rondbogige afsluiting. Het orgelfront in Einighausen is nauw verwant aan dat in Margraten uit 1879 (deel 1878-1886, 84-85). Bij de oudste voorbeelden van dit type zijn de buitenvelden iets hoger dan de binnenvelden; in Margraten wordt dit verschil in hoogte alleen bewerkstelligd door de zware frontons boven de buitenvelden. Bij het in 1880 gebouwde orgel in Attenhoven (B) zijn de buitenvelden lager dan de binnenvelden. In Einighausen liggen binnen- en buitenvelden onder één gemeenschappelijke horizontale lijst. Anders dan in Margraten heeft dit orgel weer een gesloten onderkas. De decoratie is veel eenvoudiger. Alleen het middenveld vertoont enige decoratieve verrijking: een gelobde boog op smalle zuiltjes, terwijl zich om de halfronde bovenlijst een reeks S-ranken kronkelt. Verder zien wij alleen eenvoudige stijlen en consoles. Juist door deze soberheid biedt dit orgel een overtuigende aanblik. </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Henk van Loo, Ton Reijnaerdts, </w:t>
      </w:r>
      <w:r>
        <w:rPr>
          <w:i/>
          <w:lang w:val="nl-NL"/>
        </w:rPr>
        <w:t>Pereboom &amp; Leijser. Orgelmakers te Maastricht</w:t>
      </w:r>
      <w:r>
        <w:rPr>
          <w:lang w:val="nl-NL"/>
        </w:rPr>
        <w:t>. Maastricht, 1998, 174, 204.</w:t>
      </w:r>
    </w:p>
    <w:p>
      <w:pPr>
        <w:pStyle w:val="T3Lit"/>
        <w:jc w:val="start"/>
        <w:rPr/>
      </w:pPr>
      <w:r>
        <w:rPr>
          <w:i/>
          <w:lang w:val="nl-NL"/>
        </w:rPr>
        <w:t>De Mixtuur</w:t>
      </w:r>
      <w:r>
        <w:rPr>
          <w:lang w:val="nl-NL"/>
        </w:rPr>
        <w:t>, 45 (1984), 612.</w:t>
      </w:r>
    </w:p>
    <w:p>
      <w:pPr>
        <w:pStyle w:val="T3Lit"/>
        <w:jc w:val="start"/>
        <w:rPr>
          <w:lang w:val="nl-NL"/>
        </w:rPr>
      </w:pPr>
      <w:r>
        <w:rPr>
          <w:lang w:val="nl-NL"/>
        </w:rPr>
      </w:r>
    </w:p>
    <w:p>
      <w:pPr>
        <w:pStyle w:val="T3Lit"/>
        <w:jc w:val="start"/>
        <w:rPr>
          <w:lang w:val="nl-NL"/>
        </w:rPr>
      </w:pPr>
      <w:r>
        <w:rPr>
          <w:lang w:val="nl-NL"/>
        </w:rPr>
        <w:t>Monumentnummer 521630</w:t>
      </w:r>
    </w:p>
    <w:p>
      <w:pPr>
        <w:pStyle w:val="T3Lit"/>
        <w:jc w:val="start"/>
        <w:rPr>
          <w:lang w:val="nl-NL"/>
        </w:rPr>
      </w:pPr>
      <w:r>
        <w:rPr>
          <w:lang w:val="nl-NL"/>
        </w:rPr>
        <w:t>Orgelnummer 2126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Pereboom &amp; Leijser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1888</w:t>
      </w:r>
    </w:p>
    <w:p>
      <w:pPr>
        <w:pStyle w:val="T1"/>
        <w:jc w:val="start"/>
        <w:rPr>
          <w:lang w:val="nl-NL"/>
        </w:rPr>
      </w:pPr>
      <w:r>
        <w:rPr>
          <w:lang w:val="nl-NL"/>
        </w:rPr>
      </w:r>
    </w:p>
    <w:p>
      <w:pPr>
        <w:pStyle w:val="T1"/>
        <w:jc w:val="start"/>
        <w:rPr>
          <w:lang w:val="nl-NL"/>
        </w:rPr>
      </w:pPr>
      <w:r>
        <w:rPr>
          <w:lang w:val="nl-NL"/>
        </w:rPr>
        <w:t>Pierre H.A. Pereboom? 1952</w:t>
      </w:r>
    </w:p>
    <w:p>
      <w:pPr>
        <w:pStyle w:val="T1"/>
        <w:jc w:val="start"/>
        <w:rPr>
          <w:lang w:val="nl-NL"/>
        </w:rPr>
      </w:pPr>
      <w:r>
        <w:rPr>
          <w:lang w:val="nl-NL"/>
        </w:rPr>
        <w:t>.</w:t>
        <w:tab/>
        <w:t>- Basson B 8' / Hautbois D 8', + Trompet B/D 8'</w:t>
      </w:r>
    </w:p>
    <w:p>
      <w:pPr>
        <w:pStyle w:val="T1"/>
        <w:jc w:val="start"/>
        <w:rPr>
          <w:lang w:val="nl-NL"/>
        </w:rPr>
      </w:pPr>
      <w:r>
        <w:rPr>
          <w:lang w:val="nl-NL"/>
        </w:rPr>
        <w:t>.</w:t>
        <w:tab/>
        <w:t>mogelijk bij die gelegenheid Ped + Bourdon 16' op pneumatische lade</w:t>
      </w:r>
    </w:p>
    <w:p>
      <w:pPr>
        <w:pStyle w:val="T1"/>
        <w:jc w:val="start"/>
        <w:rPr>
          <w:lang w:val="nl-NL"/>
        </w:rPr>
      </w:pPr>
      <w:r>
        <w:rPr>
          <w:lang w:val="nl-NL"/>
        </w:rPr>
      </w:r>
    </w:p>
    <w:p>
      <w:pPr>
        <w:pStyle w:val="T1"/>
        <w:jc w:val="start"/>
        <w:rPr>
          <w:lang w:val="nl-NL"/>
        </w:rPr>
      </w:pPr>
      <w:r>
        <w:rPr>
          <w:lang w:val="nl-NL"/>
        </w:rPr>
        <w:t>H. Wilbrand 1983</w:t>
      </w:r>
    </w:p>
    <w:p>
      <w:pPr>
        <w:pStyle w:val="T1"/>
        <w:jc w:val="start"/>
        <w:rPr>
          <w:lang w:val="nl-NL"/>
        </w:rPr>
      </w:pPr>
      <w:r>
        <w:rPr>
          <w:lang w:val="nl-NL"/>
        </w:rPr>
        <w:t>.</w:t>
        <w:tab/>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aangehangen pédale</w:t>
      </w:r>
    </w:p>
    <w:p>
      <w:pPr>
        <w:pStyle w:val="T1"/>
        <w:jc w:val="start"/>
        <w:rPr>
          <w:lang w:val="nl-NL"/>
        </w:rPr>
      </w:pPr>
      <w:r>
        <w:rPr>
          <w:lang w:val="nl-NL"/>
        </w:rPr>
      </w:r>
    </w:p>
    <w:p>
      <w:pPr>
        <w:pStyle w:val="T1"/>
        <w:jc w:val="start"/>
        <w:rPr/>
      </w:pPr>
      <w:r>
        <w:rPr/>
        <w:t>Dispositie</w:t>
      </w:r>
    </w:p>
    <w:tbl>
      <w:tblPr>
        <w:tblW w:w="4262" w:type="dxa"/>
        <w:jc w:val="start"/>
        <w:tblInd w:w="-70" w:type="dxa"/>
        <w:tblLayout w:type="fixed"/>
        <w:tblCellMar>
          <w:top w:w="0" w:type="dxa"/>
          <w:start w:w="70" w:type="dxa"/>
          <w:bottom w:w="0" w:type="dxa"/>
          <w:end w:w="70" w:type="dxa"/>
        </w:tblCellMar>
      </w:tblPr>
      <w:tblGrid>
        <w:gridCol w:w="1870"/>
        <w:gridCol w:w="786"/>
        <w:gridCol w:w="820"/>
        <w:gridCol w:w="786"/>
      </w:tblGrid>
      <w:tr>
        <w:trPr/>
        <w:tc>
          <w:tcPr>
            <w:tcW w:w="1870" w:type="dxa"/>
            <w:tcBorders/>
          </w:tcPr>
          <w:p>
            <w:pPr>
              <w:pStyle w:val="T4dispositie"/>
              <w:jc w:val="start"/>
              <w:rPr>
                <w:i/>
                <w:i/>
                <w:iCs/>
                <w:lang w:val="nl-NL"/>
              </w:rPr>
            </w:pPr>
            <w:r>
              <w:rPr>
                <w:i/>
                <w:iCs/>
                <w:lang w:val="nl-NL"/>
              </w:rPr>
              <w:t>Grand Orgue</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Montre</w:t>
            </w:r>
          </w:p>
          <w:p>
            <w:pPr>
              <w:pStyle w:val="T4dispositie"/>
              <w:jc w:val="start"/>
              <w:rPr>
                <w:lang w:val="nl-NL"/>
              </w:rPr>
            </w:pPr>
            <w:r>
              <w:rPr>
                <w:lang w:val="nl-NL"/>
              </w:rPr>
              <w:t>Bourdon</w:t>
            </w:r>
          </w:p>
          <w:p>
            <w:pPr>
              <w:pStyle w:val="T4dispositie"/>
              <w:jc w:val="start"/>
              <w:rPr>
                <w:lang w:val="nl-NL"/>
              </w:rPr>
            </w:pPr>
            <w:r>
              <w:rPr>
                <w:lang w:val="nl-NL"/>
              </w:rPr>
              <w:t>Viole de Gambe</w:t>
            </w:r>
          </w:p>
          <w:p>
            <w:pPr>
              <w:pStyle w:val="T4dispositie"/>
              <w:jc w:val="start"/>
              <w:rPr>
                <w:lang w:val="nl-NL"/>
              </w:rPr>
            </w:pPr>
            <w:r>
              <w:rPr>
                <w:lang w:val="nl-NL"/>
              </w:rPr>
              <w:t>Salicional</w:t>
            </w:r>
          </w:p>
          <w:p>
            <w:pPr>
              <w:pStyle w:val="T4dispositie"/>
              <w:jc w:val="start"/>
              <w:rPr>
                <w:lang w:val="nl-NL"/>
              </w:rPr>
            </w:pPr>
            <w:r>
              <w:rPr>
                <w:lang w:val="nl-NL"/>
              </w:rPr>
              <w:t>Prestant</w:t>
            </w:r>
          </w:p>
          <w:p>
            <w:pPr>
              <w:pStyle w:val="T4dispositie"/>
              <w:jc w:val="start"/>
              <w:rPr>
                <w:lang w:val="nl-NL"/>
              </w:rPr>
            </w:pPr>
            <w:r>
              <w:rPr>
                <w:lang w:val="nl-NL"/>
              </w:rPr>
              <w:t>Flûte</w:t>
            </w:r>
          </w:p>
          <w:p>
            <w:pPr>
              <w:pStyle w:val="T4dispositie"/>
              <w:jc w:val="start"/>
              <w:rPr>
                <w:lang w:val="nl-NL"/>
              </w:rPr>
            </w:pPr>
            <w:r>
              <w:rPr>
                <w:lang w:val="nl-NL"/>
              </w:rPr>
              <w:t>Trompet B/D</w:t>
            </w:r>
          </w:p>
        </w:tc>
        <w:tc>
          <w:tcPr>
            <w:tcW w:w="78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8'</w:t>
            </w:r>
          </w:p>
        </w:tc>
        <w:tc>
          <w:tcPr>
            <w:tcW w:w="820" w:type="dxa"/>
            <w:tcBorders/>
          </w:tcPr>
          <w:p>
            <w:pPr>
              <w:pStyle w:val="T4dispositie"/>
              <w:jc w:val="start"/>
              <w:rPr>
                <w:lang w:val="nl-NL"/>
              </w:rPr>
            </w:pPr>
            <w:r>
              <w:rPr>
                <w:i/>
                <w:iCs/>
                <w:lang w:val="nl-NL"/>
              </w:rPr>
              <w:t>Pédale</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78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 </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 twee schepbalgen en handpomp (1888)</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cis</w:t>
      </w:r>
      <w:r>
        <w:rPr>
          <w:vertAlign w:val="superscript"/>
          <w:lang w:val="nl-NL"/>
        </w:rPr>
        <w:t>1</w:t>
      </w:r>
      <w:r>
        <w:rPr>
          <w:lang w:val="nl-NL"/>
        </w:rPr>
        <w:t xml:space="preserve"> en d</w:t>
      </w:r>
      <w:r>
        <w:rPr>
          <w:vertAlign w:val="superscript"/>
          <w:lang w:val="nl-NL"/>
        </w:rPr>
        <w:t>1</w:t>
      </w:r>
      <w:r>
        <w:rPr>
          <w:lang w:val="nl-NL"/>
        </w:rPr>
        <w:t>.</w:t>
      </w:r>
    </w:p>
    <w:p>
      <w:pPr>
        <w:pStyle w:val="T1"/>
        <w:jc w:val="start"/>
        <w:rPr>
          <w:lang w:val="nl-NL"/>
        </w:rPr>
      </w:pPr>
      <w:r>
        <w:rPr>
          <w:lang w:val="nl-NL"/>
        </w:rPr>
        <w:t>De wijzigingen in 1952 zouden kunnen zijn uitgevoerd door Pierre H.A. Pereboom, getuige het naamplaatje dat nog aanwezig is. De registerknoppen zijn in een horizontale rij boven de lessenaar aangebracht.</w:t>
      </w:r>
    </w:p>
    <w:p>
      <w:pPr>
        <w:pStyle w:val="T1"/>
        <w:jc w:val="start"/>
        <w:rPr>
          <w:lang w:val="nl-NL"/>
        </w:rPr>
      </w:pPr>
      <w:r>
        <w:rPr>
          <w:lang w:val="nl-NL"/>
        </w:rPr>
        <w:t>De Bourdon 16' is achter het orgel opgesteld. Het pijpwerk van het GO is opgesteld in hele tonen: C en Cis in het midden, de overige pijpen naar weerszijden aflopend. De ladevolgorde van deze registers is als volgt: Montre 8', Prestant 4', Viole de Gambe 8', Bourdon 8', Salicional 8', Flûte 4', Trompet 8'.</w:t>
      </w:r>
    </w:p>
    <w:p>
      <w:pPr>
        <w:pStyle w:val="T1"/>
        <w:jc w:val="start"/>
        <w:rPr/>
      </w:pPr>
      <w:r>
        <w:rPr>
          <w:lang w:val="nl-NL"/>
        </w:rPr>
        <w:t>Behalve de Trompet 8' en de Bourdon 16' zijn alle registers origineel, evenals vrijwel alle andere onderdelen van het instrument. F-a van de Montre 8' staan in het front (metaal). C-E zijn van hout, open, en in het orgel opgesteld: C en D achter het front, Dis en E dwars tussen de C- en Cis-lade. Van de Bourdon 8' zijn C-dis van hout, gedekt, het vervolg is van metaal, gedekt. C-F bevinden zich tussen de C- en de Cis-lade, Fis-dis zijn vóór de lade opgesteld. De Viole de Gambe is geheel van metaal en voorzien van freins. C-Dis bevinden zich direct achter het front, het overige pijpwerk staat op de lade. Van de Salicional 8' is het groot octaaf gecombineerd met de Bourdon 8', het vervolg is van metaal. De Flûte 4' is geheel van metaal, C-g</w:t>
      </w:r>
      <w:r>
        <w:rPr>
          <w:vertAlign w:val="superscript"/>
          <w:lang w:val="nl-NL"/>
        </w:rPr>
        <w:t>1</w:t>
      </w:r>
      <w:r>
        <w:rPr>
          <w:lang w:val="nl-NL"/>
        </w:rPr>
        <w:t xml:space="preserve"> zijn voorzien van een inwendig roer, het vervolg is conisch, open. Bij de Trompet 8' zijn fis</w:t>
      </w:r>
      <w:r>
        <w:rPr>
          <w:vertAlign w:val="superscript"/>
          <w:lang w:val="nl-NL"/>
        </w:rPr>
        <w:t>3</w:t>
      </w:r>
      <w:r>
        <w:rPr>
          <w:lang w:val="nl-NL"/>
        </w:rPr>
        <w:t xml:space="preserve"> en g</w:t>
      </w:r>
      <w:r>
        <w:rPr>
          <w:vertAlign w:val="superscript"/>
          <w:lang w:val="nl-NL"/>
        </w:rPr>
        <w:t>3</w:t>
      </w:r>
      <w:r>
        <w:rPr>
          <w:lang w:val="nl-NL"/>
        </w:rPr>
        <w:t xml:space="preserve"> als labialen uitgevoerd. Het open pijpwerk is, behalve de kleinste pijpen,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2007-02-12T14:02:00Z</dcterms:created>
  <dc:creator>WS1</dc:creator>
  <dc:description/>
  <dc:language>en-US</dc:language>
  <cp:lastModifiedBy>WS1</cp:lastModifiedBy>
  <dcterms:modified xsi:type="dcterms:W3CDTF">2007-02-12T14:02:00Z</dcterms:modified>
  <cp:revision>2</cp:revision>
  <dc:subject/>
  <dc:title>Sweykhuizen / 1883</dc:title>
</cp:coreProperties>
</file>