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Vries / 1888</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Kerk bestaande uit een romaanse toren uit de tweede helft van de 12e eeuw, een romaans schip uit ongeveer dezelfde tijd, dat bij de restauratie in 1946-1949 in de oorspronkelijke vorm werd gereconstrueerd, en een hoger koor uit het begin van de 15e eeuw. In het schip een vlakke balken zoldering, in het koor een bij de restauratie gereconstrueerd kruisribgewelf. Doopvont uit de 13e eeuw, preekstoel uit 1661 en een herenbank uit 1762. Onder de consistoriekamer resten van een in het schip opgegraven klokkengieterij.</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1888</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Het eerste voorbeeld van een orgel van de gebroeders Van Oeckelen met een zevendelig front, à la Hinsz, zoals hun vader dat meerdere keren had toegepast, de eerste keer in Breede (1849, deel 1840-1849. 366-368). Typerend zijn de geronde gedeelde zijvelden. Petrus van Oeckelen bouwde dit frontmodel in het begin steeds met spitse zijtorens, geheel in de geest van Hinsz. De eerste keer dat hij het combineerde met ronde zijtorens was in Akkrum (1856, deel 1850-1858, 272-274) en wel op tamelijk monumentale schaal. Een ander voorbeeld is het orgel in de Pepergasthuiskerk (1862, deel 1858-1865, 209-212) in Groningen.</w:t>
      </w:r>
    </w:p>
    <w:p>
      <w:pPr>
        <w:pStyle w:val="T2Kunst"/>
        <w:jc w:val="start"/>
        <w:rPr>
          <w:lang w:val="nl-NL"/>
        </w:rPr>
      </w:pPr>
      <w:r>
        <w:rPr>
          <w:lang w:val="nl-NL"/>
        </w:rPr>
        <w:t>In Vries combineren de gebroeders dit 'Hinsz'-type met de door hen zo veelvuldig toegepaste verhoogde frontstok met cannelures bij de middentoren. De tussenvelden zijn vlak; de geronde zijvelden zijn gedeeld, zoals bij dit frontmodel gebruikelijk.</w:t>
      </w:r>
    </w:p>
    <w:p>
      <w:pPr>
        <w:pStyle w:val="T2Kunst"/>
        <w:jc w:val="start"/>
        <w:rPr>
          <w:lang w:val="nl-NL"/>
        </w:rPr>
      </w:pPr>
      <w:r>
        <w:rPr>
          <w:lang w:val="nl-NL"/>
        </w:rPr>
        <w:t>De decoratie is voor de tijd van ontstaan tamelijk transparant. Aan de pijpvoeten zijn twee ranke S-voluten te zien met bloemen die elkaar in het midden bij twee vruchten raken. Aan de pijpvoeten in de zijtorens ontspruiten twee kelken uit een vlezig blad in het midden; zij krullen naar de hoek C-vormig om. In de smalle tussenvelden beneden aan de pijpvoeten is vlezig bladwerk aangebracht. De tussenlijsten in de velden zijn tamelijk breed en worden omkaderd door sobere S-ranken. Aan de pijpvoeten in de onderste etages in de zijvelden ontbreken blinderingen Die aan de pijpuiteinden in de middentoren bestaan uit zich naar buiten toe splitsende ranken. Aan de zijkanten van de toren is een krul aangebracht, vanwaar een sierlijk bladslinger over de tussenvelden is gedrapeerd. Zij wordt overschaduwd door de naar het midden toe sterk uitkragende kappen van de zijtorens. De bovenblinderingen van deze torens bevatten doorzichtig rankwerk dat op de vormgeving van die van de middentoren varieert. In de zijvelden treft men vlezig bladwerk aan.</w:t>
      </w:r>
    </w:p>
    <w:p>
      <w:pPr>
        <w:pStyle w:val="T2Kunst"/>
        <w:jc w:val="start"/>
        <w:rPr>
          <w:lang w:val="nl-NL"/>
        </w:rPr>
      </w:pPr>
      <w:r>
        <w:rPr>
          <w:lang w:val="nl-NL"/>
        </w:rPr>
        <w:t>De vleugelstukken zijn van een voor de gebroeders Van Oeckelen gebruikelijk model; een zeer doorluchtige krul die op een G-sleutel lijkt, waarin secundaire krullen zijn aangebracht en bovendien verscheidene bloemen. Dergelijke vleugelstukken zijn onder meer ook in Diever (1882, deel 1878-1886, 205-207) en Veessen (1883, deel 1878-1886, 280-281) te vinden.</w:t>
      </w:r>
    </w:p>
    <w:p>
      <w:pPr>
        <w:pStyle w:val="T2Kunst"/>
        <w:jc w:val="start"/>
        <w:rPr>
          <w:lang w:val="nl-NL"/>
        </w:rPr>
      </w:pPr>
      <w:r>
        <w:rPr>
          <w:lang w:val="nl-NL"/>
        </w:rPr>
        <w:t>De kap van de middentoren eindigt in een tandlijst; daarboven is een lier aangebracht; deze is gedecoreerd met twee hoorns van overvloed waaruit bladtakken voortkomen. Vanaf dit moment zal dit motief steeds weer bij de lieren van de gebroeders Van Oeckelen opduiken. Op de zijtorens staan vazen met breed uitstaande bovenschalen.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Mixtuur</w:t>
      </w:r>
      <w:r>
        <w:rPr>
          <w:lang w:val="nl-NL"/>
        </w:rPr>
        <w:t>, 38 (1982), 308.</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Stef Tuinstra, </w:t>
      </w:r>
      <w:r>
        <w:rPr>
          <w:i/>
          <w:iCs/>
          <w:lang w:val="nl-NL"/>
        </w:rPr>
        <w:t>Van Oeckelen-orgel Vries</w:t>
      </w:r>
      <w:r>
        <w:rPr>
          <w:lang w:val="nl-NL"/>
        </w:rPr>
        <w:t>. Bedum, 2005.</w:t>
      </w:r>
    </w:p>
    <w:p>
      <w:pPr>
        <w:pStyle w:val="T3Lit"/>
        <w:jc w:val="start"/>
        <w:rPr>
          <w:lang w:val="nl-NL"/>
        </w:rPr>
      </w:pPr>
      <w:r>
        <w:rPr>
          <w:lang w:val="nl-NL"/>
        </w:rPr>
        <w:t>Informatie Jaap Brouwer.</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38146</w:t>
      </w:r>
    </w:p>
    <w:p>
      <w:pPr>
        <w:pStyle w:val="T3Lit"/>
        <w:jc w:val="start"/>
        <w:rPr>
          <w:lang w:val="nl-NL"/>
        </w:rPr>
      </w:pPr>
      <w:r>
        <w:rPr>
          <w:lang w:val="nl-NL"/>
        </w:rPr>
        <w:t>Orgelnummer 1586</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1888</w:t>
      </w:r>
    </w:p>
    <w:p>
      <w:pPr>
        <w:pStyle w:val="T1"/>
        <w:jc w:val="start"/>
        <w:rPr>
          <w:lang w:val="nl-NL"/>
        </w:rPr>
      </w:pPr>
      <w:r>
        <w:rPr>
          <w:lang w:val="nl-NL"/>
        </w:rPr>
      </w:r>
    </w:p>
    <w:p>
      <w:pPr>
        <w:pStyle w:val="T1"/>
        <w:jc w:val="start"/>
        <w:rPr>
          <w:lang w:val="nl-NL"/>
        </w:rPr>
      </w:pPr>
      <w:r>
        <w:rPr>
          <w:lang w:val="nl-NL"/>
        </w:rPr>
        <w:t>1946</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lang w:val="nl-NL"/>
        </w:rPr>
      </w:pPr>
      <w:r>
        <w:rPr>
          <w:lang w:val="nl-NL"/>
        </w:rPr>
        <w:t>H. Vegter 1949</w:t>
      </w:r>
    </w:p>
    <w:p>
      <w:pPr>
        <w:pStyle w:val="T1"/>
        <w:jc w:val="start"/>
        <w:rPr>
          <w:lang w:val="nl-NL"/>
        </w:rPr>
      </w:pPr>
      <w:r>
        <w:rPr>
          <w:lang w:val="nl-NL"/>
        </w:rPr>
        <w:t>.</w:t>
        <w:tab/>
        <w:t>orgel herplaatst en hersteld</w:t>
      </w:r>
    </w:p>
    <w:p>
      <w:pPr>
        <w:pStyle w:val="T1"/>
        <w:jc w:val="start"/>
        <w:rPr>
          <w:lang w:val="nl-NL"/>
        </w:rPr>
      </w:pPr>
      <w:r>
        <w:rPr>
          <w:lang w:val="nl-NL"/>
        </w:rPr>
        <w:t>.</w:t>
        <w:tab/>
        <w:t>handpomp windvoorziening verwijderd</w:t>
      </w:r>
    </w:p>
    <w:p>
      <w:pPr>
        <w:pStyle w:val="T1"/>
        <w:jc w:val="start"/>
        <w:rPr>
          <w:lang w:val="nl-NL"/>
        </w:rPr>
      </w:pPr>
      <w:r>
        <w:rPr>
          <w:lang w:val="nl-NL"/>
        </w:rPr>
      </w:r>
    </w:p>
    <w:p>
      <w:pPr>
        <w:pStyle w:val="T1"/>
        <w:jc w:val="start"/>
        <w:rPr>
          <w:lang w:val="nl-NL"/>
        </w:rPr>
      </w:pPr>
      <w:r>
        <w:rPr>
          <w:lang w:val="nl-NL"/>
        </w:rPr>
        <w:t>Mense Ruiter 1978</w:t>
      </w:r>
    </w:p>
    <w:p>
      <w:pPr>
        <w:pStyle w:val="T1"/>
        <w:jc w:val="start"/>
        <w:rPr>
          <w:lang w:val="nl-NL"/>
        </w:rPr>
      </w:pPr>
      <w:r>
        <w:rPr>
          <w:lang w:val="nl-NL"/>
        </w:rPr>
        <w:t>.</w:t>
        <w:tab/>
        <w:t>herstel windlade en mechanieken</w:t>
      </w:r>
    </w:p>
    <w:p>
      <w:pPr>
        <w:pStyle w:val="T1"/>
        <w:jc w:val="start"/>
        <w:rPr>
          <w:lang w:val="nl-NL"/>
        </w:rPr>
      </w:pPr>
      <w:r>
        <w:rPr>
          <w:lang w:val="nl-NL"/>
        </w:rPr>
        <w:t>.</w:t>
        <w:tab/>
        <w:t>herintonatie op lagere winddruk</w:t>
      </w:r>
    </w:p>
    <w:p>
      <w:pPr>
        <w:pStyle w:val="T1"/>
        <w:jc w:val="start"/>
        <w:rPr>
          <w:lang w:val="nl-NL"/>
        </w:rPr>
      </w:pPr>
      <w:r>
        <w:rPr>
          <w:lang w:val="nl-NL"/>
        </w:rPr>
      </w:r>
    </w:p>
    <w:p>
      <w:pPr>
        <w:pStyle w:val="T1"/>
        <w:jc w:val="start"/>
        <w:rPr>
          <w:lang w:val="nl-NL"/>
        </w:rPr>
      </w:pPr>
      <w:r>
        <w:rPr>
          <w:lang w:val="nl-NL"/>
        </w:rPr>
        <w:t>Mense Ruiter Orgelmakers 2006</w:t>
      </w:r>
    </w:p>
    <w:p>
      <w:pPr>
        <w:pStyle w:val="T1"/>
        <w:jc w:val="start"/>
        <w:rPr>
          <w:lang w:val="nl-NL"/>
        </w:rPr>
      </w:pPr>
      <w:r>
        <w:rPr>
          <w:lang w:val="nl-NL"/>
        </w:rPr>
        <w:t>.</w:t>
        <w:tab/>
        <w:t>orgel gedemonteerd ter restauratie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80" w:type="dxa"/>
        <w:jc w:val="start"/>
        <w:tblInd w:w="0" w:type="dxa"/>
        <w:tblLayout w:type="fixed"/>
        <w:tblCellMar>
          <w:top w:w="0" w:type="dxa"/>
          <w:start w:w="70" w:type="dxa"/>
          <w:bottom w:w="0" w:type="dxa"/>
          <w:end w:w="70" w:type="dxa"/>
        </w:tblCellMar>
      </w:tblPr>
      <w:tblGrid>
        <w:gridCol w:w="1488"/>
        <w:gridCol w:w="592"/>
      </w:tblGrid>
      <w:tr>
        <w:trPr/>
        <w:tc>
          <w:tcPr>
            <w:tcW w:w="1488"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Octaaf</w:t>
            </w:r>
          </w:p>
          <w:p>
            <w:pPr>
              <w:pStyle w:val="T4dispositie"/>
              <w:jc w:val="start"/>
              <w:rPr>
                <w:lang w:val="nl-NL"/>
              </w:rPr>
            </w:pPr>
            <w:r>
              <w:rPr>
                <w:lang w:val="nl-NL"/>
              </w:rPr>
              <w:t>Cornet</w:t>
            </w:r>
          </w:p>
        </w:tc>
        <w:tc>
          <w:tcPr>
            <w:tcW w:w="5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tc>
      </w:tr>
    </w:tbl>
    <w:p>
      <w:pPr>
        <w:pStyle w:val="T4dispositie"/>
        <w:rPr>
          <w:lang w:val="nl-NL"/>
        </w:rPr>
      </w:pPr>
      <w:r>
        <w:rPr>
          <w:lang w:val="nl-NL"/>
        </w:rPr>
      </w:r>
    </w:p>
    <w:p>
      <w:pPr>
        <w:pStyle w:val="T4dispositie"/>
        <w:rPr>
          <w:lang w:val="nl-NL"/>
        </w:rPr>
      </w:pPr>
      <w:r>
        <w:rPr>
          <w:lang w:val="nl-NL"/>
        </w:rPr>
        <w:t>* in werkelijkheid D 3 st.</w:t>
      </w:r>
    </w:p>
    <w:p>
      <w:pPr>
        <w:pStyle w:val="T4dispositie"/>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 (vóór demontage 2006)</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en schokbalg (1888)</w:t>
      </w:r>
    </w:p>
    <w:p>
      <w:pPr>
        <w:pStyle w:val="T1"/>
        <w:jc w:val="start"/>
        <w:rPr>
          <w:lang w:val="nl-NL"/>
        </w:rPr>
      </w:pPr>
      <w:r>
        <w:rPr>
          <w:lang w:val="nl-NL"/>
        </w:rPr>
        <w:t>Winddruk</w:t>
      </w:r>
    </w:p>
    <w:p>
      <w:pPr>
        <w:pStyle w:val="T1"/>
        <w:jc w:val="start"/>
        <w:rPr>
          <w:lang w:val="nl-NL"/>
        </w:rPr>
      </w:pPr>
      <w:r>
        <w:rPr>
          <w:lang w:val="nl-NL"/>
        </w:rPr>
        <w:t>75 mm (vóór demontage 2006)</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c en cis.</w:t>
      </w:r>
    </w:p>
    <w:p>
      <w:pPr>
        <w:pStyle w:val="T1"/>
        <w:jc w:val="start"/>
        <w:rPr/>
      </w:pPr>
      <w:r>
        <w:rPr>
          <w:lang w:val="nl-NL"/>
        </w:rPr>
        <w:t xml:space="preserve">In </w:t>
      </w:r>
      <w:r>
        <w:rPr>
          <w:i/>
          <w:iCs/>
          <w:lang w:val="nl-NL"/>
        </w:rPr>
        <w:t>Het Orgel</w:t>
      </w:r>
      <w:r>
        <w:rPr>
          <w:lang w:val="nl-NL"/>
        </w:rPr>
        <w:t>, 1/4 (1886) biedt Van Oeckelen twee nieuwe eenklaviers orgels te koop aan. In de advertentie worden ook de disposities vermeld. Op grond daarvan kan worden verondersteld dat het grootste van de twee (2.200 gulden) in 1887 geplaatst is in de Hervormde Kerk te Dwingeloo (in 1923 door brand verwoest), en dat het kleinste (1.600 gulden) gekocht werd door de Hervormde Gemeente te Vries.</w:t>
      </w:r>
    </w:p>
    <w:p>
      <w:pPr>
        <w:pStyle w:val="T1"/>
        <w:jc w:val="start"/>
        <w:rPr>
          <w:lang w:val="nl-NL"/>
        </w:rPr>
      </w:pPr>
      <w:r>
        <w:rPr>
          <w:lang w:val="nl-NL"/>
        </w:rPr>
        <w:t>De orgelkas in Vries was oorspronkelijk geschilderd in een palissanderimitatie. In 1949 (?) werd een olijfgroene kleur aangebracht. In het front staan C-E en Fis-h van de Prestant 8'; F is achter het front geplaatst.</w:t>
      </w:r>
    </w:p>
    <w:p>
      <w:pPr>
        <w:pStyle w:val="T1"/>
        <w:jc w:val="start"/>
        <w:rPr>
          <w:lang w:val="nl-NL"/>
        </w:rPr>
      </w:pPr>
      <w:r>
        <w:rPr>
          <w:lang w:val="nl-NL"/>
        </w:rPr>
        <w:t>De handpomp van de windvoorziening is in 1949 bij het plaatsen van een orgelmotor verwijderd. De winddruk bedroeg voor 1978 vermoedelijk ongeveer 84 mm.</w:t>
      </w:r>
    </w:p>
    <w:p>
      <w:pPr>
        <w:pStyle w:val="T1"/>
        <w:jc w:val="start"/>
        <w:rPr>
          <w:lang w:val="nl-NL"/>
        </w:rPr>
      </w:pPr>
      <w:r>
        <w:rPr>
          <w:lang w:val="nl-NL"/>
        </w:rPr>
        <w:t>De registerknoppen zijn in een horizontale rij boven de muzieklessenaar aangebracht. De bakstukken van het manuaal hebben het bij Van Oeckelen gebruikelijke beleg van ivoor en ebbenhout.</w:t>
      </w:r>
    </w:p>
    <w:p>
      <w:pPr>
        <w:pStyle w:val="T1"/>
        <w:jc w:val="start"/>
        <w:rPr>
          <w:lang w:val="nl-NL"/>
        </w:rPr>
      </w:pPr>
      <w:r>
        <w:rPr>
          <w:lang w:val="nl-NL"/>
        </w:rPr>
        <w:t>Het pijpwerk is in hele tonen opgesteld, in grootte vanuit het midden naar de zijkanten aflopend.</w:t>
      </w:r>
    </w:p>
    <w:p>
      <w:pPr>
        <w:pStyle w:val="T1"/>
        <w:jc w:val="start"/>
        <w:rPr/>
      </w:pPr>
      <w:r>
        <w:rPr>
          <w:lang w:val="nl-NL"/>
        </w:rPr>
        <w:t>Houten (grenen) pijpwerk bevindt zich in de Bourdon 16' (C-h) en de Holpijp 8' (C-H). De Viola di Gamba 8' spreekt van C-H in de Holpijp 8'. De Spitsfluit 4' is van C-fis</w:t>
      </w:r>
      <w:r>
        <w:rPr>
          <w:vertAlign w:val="superscript"/>
          <w:lang w:val="nl-NL"/>
        </w:rPr>
        <w:t>2</w:t>
      </w:r>
      <w:r>
        <w:rPr>
          <w:lang w:val="nl-NL"/>
        </w:rPr>
        <w:t xml:space="preserve"> gedekt en vanaf g</w:t>
      </w:r>
      <w:r>
        <w:rPr>
          <w:vertAlign w:val="superscript"/>
          <w:lang w:val="nl-NL"/>
        </w:rPr>
        <w:t>2</w:t>
      </w:r>
      <w:r>
        <w:rPr>
          <w:lang w:val="nl-NL"/>
        </w:rPr>
        <w:t xml:space="preserve"> open, conisch.</w:t>
      </w:r>
    </w:p>
    <w:p>
      <w:pPr>
        <w:pStyle w:val="T1"/>
        <w:jc w:val="start"/>
        <w:rPr/>
      </w:pPr>
      <w:r>
        <w:rPr>
          <w:lang w:val="nl-NL"/>
        </w:rPr>
        <w:t>Steminrichtingen bij open pijpen, voorzover niet op lengte afgesneden: Prestant 8' C-h</w:t>
      </w:r>
      <w:r>
        <w:rPr>
          <w:vertAlign w:val="superscript"/>
          <w:lang w:val="nl-NL"/>
        </w:rPr>
        <w:t>2</w:t>
      </w:r>
      <w:r>
        <w:rPr>
          <w:lang w:val="nl-NL"/>
        </w:rPr>
        <w:t xml:space="preserve"> expressions; Viola di Gamba 8' c-b</w:t>
      </w:r>
      <w:r>
        <w:rPr>
          <w:vertAlign w:val="superscript"/>
          <w:lang w:val="nl-NL"/>
        </w:rPr>
        <w:t>2</w:t>
      </w:r>
      <w:r>
        <w:rPr>
          <w:lang w:val="nl-NL"/>
        </w:rPr>
        <w:t xml:space="preserve"> expressions, h</w:t>
      </w:r>
      <w:r>
        <w:rPr>
          <w:vertAlign w:val="superscript"/>
          <w:lang w:val="nl-NL"/>
        </w:rPr>
        <w:t>2</w:t>
      </w:r>
      <w:r>
        <w:rPr>
          <w:lang w:val="nl-NL"/>
        </w:rPr>
        <w:t xml:space="preserve"> en c</w:t>
      </w:r>
      <w:r>
        <w:rPr>
          <w:vertAlign w:val="superscript"/>
          <w:lang w:val="nl-NL"/>
        </w:rPr>
        <w:t>3</w:t>
      </w:r>
      <w:r>
        <w:rPr>
          <w:lang w:val="nl-NL"/>
        </w:rPr>
        <w:t xml:space="preserve"> stemkrul; Octaaf 4' C-h</w:t>
      </w:r>
      <w:r>
        <w:rPr>
          <w:vertAlign w:val="superscript"/>
          <w:lang w:val="nl-NL"/>
        </w:rPr>
        <w:t>1</w:t>
      </w:r>
      <w:r>
        <w:rPr>
          <w:lang w:val="nl-NL"/>
        </w:rPr>
        <w:t xml:space="preserve"> expressions; Octaaf 2' C-dis</w:t>
      </w:r>
      <w:r>
        <w:rPr>
          <w:vertAlign w:val="superscript"/>
          <w:lang w:val="nl-NL"/>
        </w:rPr>
        <w:t>1</w:t>
      </w:r>
      <w:r>
        <w:rPr>
          <w:lang w:val="nl-NL"/>
        </w:rPr>
        <w:t xml:space="preserve"> expressions, e</w:t>
      </w:r>
      <w:r>
        <w:rPr>
          <w:vertAlign w:val="superscript"/>
          <w:lang w:val="nl-NL"/>
        </w:rPr>
        <w:t>1</w:t>
      </w:r>
      <w:r>
        <w:rPr>
          <w:lang w:val="nl-NL"/>
        </w:rPr>
        <w:t>-h</w:t>
      </w:r>
      <w:r>
        <w:rPr>
          <w:vertAlign w:val="superscript"/>
          <w:lang w:val="nl-NL"/>
        </w:rPr>
        <w:t>1</w:t>
      </w:r>
      <w:r>
        <w:rPr>
          <w:lang w:val="nl-NL"/>
        </w:rPr>
        <w:t xml:space="preserve"> stemkrul.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Standaardalinealettertype">
    <w:name w:val="WW-Standaardalinea-lettertype"/>
    <w:qFormat/>
    <w:rPr/>
  </w:style>
  <w:style w:type="character" w:styleId="WWStandaardalinealettertype1">
    <w:name w:val="WW-Standaardalinea-lettertype1"/>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0"/>
      <w:szCs w:val="20"/>
    </w:rPr>
  </w:style>
  <w:style w:type="paragraph" w:styleId="WWBijschrift">
    <w:name w:val="WW-Bijschrift"/>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Subtitle">
    <w:name w:val="Subtitle"/>
    <w:basedOn w:val="WWKop"/>
    <w:next w:val="TextBody"/>
    <w:qFormat/>
    <w:pPr>
      <w:jc w:val="center"/>
    </w:pPr>
    <w:rPr>
      <w:i/>
      <w:iCs/>
      <w:sz w:val="28"/>
      <w:szCs w:val="28"/>
    </w:rPr>
  </w:style>
  <w:style w:type="paragraph" w:styleId="WWIndex1">
    <w:name w:val="WW-Index1"/>
    <w:basedOn w:val="Normal"/>
    <w:qFormat/>
    <w:pPr>
      <w:suppressLineNumbers/>
    </w:pPr>
    <w:rPr>
      <w:rFonts w:cs="Tahoma"/>
    </w:rPr>
  </w:style>
  <w:style w:type="paragraph" w:styleId="WWKop1">
    <w:name w:val="WW-Kop1"/>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WWInhoudtabel1">
    <w:name w:val="WW-Inhoud tabel1"/>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WWTabelkop1">
    <w:name w:val="WW-Tabelkop1"/>
    <w:basedOn w:val="WWInhoudtabel1"/>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2007-02-12T14:20:00Z</dcterms:created>
  <dc:creator>WS1</dc:creator>
  <dc:description/>
  <dc:language>en-US</dc:language>
  <cp:lastModifiedBy>WS1</cp:lastModifiedBy>
  <cp:lastPrinted>2113-01-01T00:00:00Z</cp:lastPrinted>
  <dcterms:modified xsi:type="dcterms:W3CDTF">2007-02-12T14:20:00Z</dcterms:modified>
  <cp:revision>2</cp:revision>
  <dc:subject/>
  <dc:title>Steenwijk / 1880</dc:title>
</cp:coreProperties>
</file>