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Uitwierde / 1889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gebouwd in 1831 bij een 13e-eeuwse losstaande toren.</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brede versie van het tweetoren type dat teruggaat op het orgel in Oudwoude uit 1856 (deel 1850-1858, 303-304). Ook hier is een breed middenveld te zien met twee zijtorens en twee harpvormige zijvelden. Een bijzonderheid is dat het middenveld en de zijvelden hier vlak zijn en niet hol, zoals bij dit frontmodel gebruikelijk was sinds Leeuwarden, Lutherse Kerk (1869, deel 1865-1872, 240-242).</w:t>
      </w:r>
    </w:p>
    <w:p>
      <w:pPr>
        <w:pStyle w:val="T2Kunst"/>
        <w:jc w:val="start"/>
        <w:rPr>
          <w:lang w:val="nl-NL"/>
        </w:rPr>
      </w:pPr>
      <w:r>
        <w:rPr>
          <w:lang w:val="nl-NL"/>
        </w:rPr>
        <w:t>Anders dan in het voorlaatste voorbeeld van dit type, het orgel in Ammerstol uit 1886, zijn hier onder de velden weer diamantkoppen aangebracht (deel 1878-1886, 371-373). De decoratie is betrekkelijk sober. Aan de pijpvoeten in de velden ziet men een regelmatig patroon van S-ranken. Verder overheersen voluutvormen; zij zijn hier niet zo sterk door bladwerk overwoekerd als het reeds genoemde orgel in Ammerstol. Boven het middenveld de gebruikelijke gekoppelde C-voluten, waarboven zich twee kleinere voluten in tegenbeweging manifesteren. In het midden de eveneens gebruikelijke lier. Bovenin de torens twee S-voluten, zoals vaker bij orgels van dit model. Onder de ingezwenkte bovenlijsten van de zijvelden is bladwerk te zien. De vleugelstukken zijn eveneens van een gebruikelijk model: een S-rank, een liggende C-voluut die met een rechte hoek overgaat in een krul. Bij de overgang tussen voluut en krul is aan de Lodewijk XIV stijl ontleend ruitwerk aangebracht. De consoles onder de toren zijn bescheiden van omvang en tonen een soort cartouche. Ook de opzetstukken, bestaande uit twee gekoppelde S-voluten, zijn hier zeer bescheiden van omvang. De vormen zijn in hoofdzaak gelijk aan die in Ammerstol, maar veel minder plastisch.</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Het Groninger Orgelbezit van Adorp tot Zijldijk. 5 Fivelingo</w:t>
      </w:r>
      <w:r>
        <w:rPr>
          <w:lang w:val="nl-NL"/>
        </w:rPr>
        <w:t>. Groningen, 1998, 168-169.</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Informatie verstrekt door A.H. de Graaf.</w:t>
      </w:r>
    </w:p>
    <w:p>
      <w:pPr>
        <w:pStyle w:val="T3Lit"/>
        <w:jc w:val="start"/>
        <w:rPr>
          <w:lang w:val="nl-NL"/>
        </w:rPr>
      </w:pPr>
      <w:r>
        <w:rPr>
          <w:lang w:val="nl-NL"/>
        </w:rPr>
      </w:r>
    </w:p>
    <w:p>
      <w:pPr>
        <w:pStyle w:val="T3Lit"/>
        <w:rPr>
          <w:lang w:val="nl-NL"/>
        </w:rPr>
      </w:pPr>
      <w:r>
        <w:rPr>
          <w:lang w:val="nl-NL"/>
        </w:rPr>
        <w:t>Monumentnummer 12324</w:t>
      </w:r>
    </w:p>
    <w:p>
      <w:pPr>
        <w:pStyle w:val="T3Lit"/>
        <w:rPr>
          <w:lang w:val="nl-NL"/>
        </w:rPr>
      </w:pPr>
      <w:r>
        <w:rPr>
          <w:lang w:val="nl-NL"/>
        </w:rPr>
        <w:t>Orgelnummer 1495</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rFonts w:ascii="Times New Roman" w:hAnsi="Times New Roman" w:cs="Times New Roman"/>
          <w:szCs w:val="24"/>
        </w:rPr>
      </w:pPr>
      <w:r>
        <w:rPr>
          <w:rFonts w:cs="Times New Roman" w:ascii="Times New Roman" w:hAnsi="Times New Roman"/>
          <w:szCs w:val="24"/>
        </w:rPr>
        <w:t>Bouwer</w:t>
      </w:r>
    </w:p>
    <w:p>
      <w:pPr>
        <w:pStyle w:val="Normal"/>
        <w:rPr>
          <w:rFonts w:ascii="Times New Roman" w:hAnsi="Times New Roman" w:cs="Times New Roman"/>
          <w:szCs w:val="24"/>
        </w:rPr>
      </w:pPr>
      <w:r>
        <w:rPr>
          <w:rFonts w:cs="Times New Roman" w:ascii="Times New Roman" w:hAnsi="Times New Roman"/>
          <w:szCs w:val="24"/>
        </w:rPr>
        <w:t>L. van Dam en Zonen</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Jaar van oplevering</w:t>
      </w:r>
    </w:p>
    <w:p>
      <w:pPr>
        <w:pStyle w:val="Normal"/>
        <w:rPr>
          <w:rFonts w:ascii="Times New Roman" w:hAnsi="Times New Roman" w:cs="Times New Roman"/>
          <w:szCs w:val="24"/>
        </w:rPr>
      </w:pPr>
      <w:r>
        <w:rPr>
          <w:rFonts w:cs="Times New Roman" w:ascii="Times New Roman" w:hAnsi="Times New Roman"/>
          <w:szCs w:val="24"/>
        </w:rPr>
        <w:t>1889</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Oorspronkelijke locatie</w:t>
      </w:r>
    </w:p>
    <w:p>
      <w:pPr>
        <w:pStyle w:val="Normal"/>
        <w:rPr>
          <w:rFonts w:ascii="Times New Roman" w:hAnsi="Times New Roman" w:cs="Times New Roman"/>
          <w:szCs w:val="24"/>
        </w:rPr>
      </w:pPr>
      <w:r>
        <w:rPr>
          <w:rFonts w:cs="Times New Roman" w:ascii="Times New Roman" w:hAnsi="Times New Roman"/>
          <w:szCs w:val="24"/>
        </w:rPr>
        <w:t>Heveskes, Hervormde Kerk</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1946</w:t>
      </w:r>
    </w:p>
    <w:p>
      <w:pPr>
        <w:pStyle w:val="Normal"/>
        <w:rPr>
          <w:rFonts w:ascii="Times New Roman" w:hAnsi="Times New Roman" w:cs="Times New Roman"/>
          <w:szCs w:val="24"/>
        </w:rPr>
      </w:pPr>
      <w:r>
        <w:rPr>
          <w:rFonts w:cs="Times New Roman" w:ascii="Times New Roman" w:hAnsi="Times New Roman"/>
          <w:szCs w:val="24"/>
        </w:rPr>
        <w:t>.</w:t>
        <w:tab/>
        <w:t>orgel hersteld na oorlogsschade</w:t>
      </w:r>
    </w:p>
    <w:p>
      <w:pPr>
        <w:pStyle w:val="Normal"/>
        <w:numPr>
          <w:ilvl w:val="0"/>
          <w:numId w:val="2"/>
        </w:numPr>
        <w:rPr>
          <w:rFonts w:ascii="Times New Roman" w:hAnsi="Times New Roman" w:cs="Times New Roman"/>
          <w:szCs w:val="24"/>
        </w:rPr>
      </w:pPr>
      <w:r>
        <w:rPr>
          <w:rFonts w:cs="Times New Roman" w:ascii="Times New Roman" w:hAnsi="Times New Roman"/>
          <w:szCs w:val="24"/>
        </w:rPr>
        <w:t>alle frontpijpen vervangen door zinken exemplaren; enkele beschadigde binnenpijpen door nieuwe vervangen</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A.H. de Graaf 1975</w:t>
      </w:r>
    </w:p>
    <w:p>
      <w:pPr>
        <w:pStyle w:val="Normal"/>
        <w:rPr>
          <w:rFonts w:ascii="Times New Roman" w:hAnsi="Times New Roman" w:cs="Times New Roman"/>
          <w:szCs w:val="24"/>
        </w:rPr>
      </w:pPr>
      <w:r>
        <w:rPr>
          <w:rFonts w:cs="Times New Roman" w:ascii="Times New Roman" w:hAnsi="Times New Roman"/>
          <w:szCs w:val="24"/>
        </w:rPr>
        <w:t>.</w:t>
        <w:tab/>
        <w:t>orgel overgeplaatst naar Uitwierde, Hervormde Kerk</w:t>
      </w:r>
    </w:p>
    <w:p>
      <w:pPr>
        <w:pStyle w:val="Normal"/>
        <w:rPr>
          <w:rFonts w:ascii="Times New Roman" w:hAnsi="Times New Roman" w:cs="Times New Roman"/>
          <w:szCs w:val="24"/>
        </w:rPr>
      </w:pPr>
      <w:r>
        <w:rPr>
          <w:rFonts w:cs="Times New Roman" w:ascii="Times New Roman" w:hAnsi="Times New Roman"/>
          <w:szCs w:val="24"/>
        </w:rPr>
        <w:t>.</w:t>
        <w:tab/>
        <w:t>nieuwe frontpijpen geplaatst</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en-GB"/>
              </w:rPr>
            </w:pPr>
            <w:r>
              <w:rPr>
                <w:lang w:val="nl-NL"/>
              </w:rPr>
              <w:t>Violon D</w:t>
            </w:r>
          </w:p>
          <w:p>
            <w:pPr>
              <w:pStyle w:val="T4dispositie"/>
              <w:rPr>
                <w:lang w:val="en-GB"/>
              </w:rPr>
            </w:pPr>
            <w:r>
              <w:rPr>
                <w:lang w:val="en-GB"/>
              </w:rPr>
              <w:t>Octaaf</w:t>
            </w:r>
          </w:p>
          <w:p>
            <w:pPr>
              <w:pStyle w:val="T4dispositie"/>
              <w:rPr>
                <w:lang w:val="en-GB"/>
              </w:rPr>
            </w:pPr>
            <w:r>
              <w:rPr>
                <w:lang w:val="en-GB"/>
              </w:rPr>
              <w:t>Roerfluit</w:t>
            </w:r>
          </w:p>
          <w:p>
            <w:pPr>
              <w:pStyle w:val="T4dispositie"/>
              <w:rPr>
                <w:lang w:val="en-GB"/>
              </w:rPr>
            </w:pPr>
            <w:r>
              <w:rPr>
                <w:lang w:val="en-GB"/>
              </w:rPr>
              <w:t>Octaaf</w:t>
            </w:r>
          </w:p>
          <w:p>
            <w:pPr>
              <w:pStyle w:val="T4dispositie"/>
              <w:rPr>
                <w:lang w:val="en-GB"/>
              </w:rPr>
            </w:pPr>
            <w:r>
              <w:rPr>
                <w:lang w:val="en-GB"/>
              </w:rPr>
              <w:t>Cornet D</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r>
              <w:rPr>
                <w:szCs w:val="24"/>
                <w:lang w:val="nl-NL"/>
              </w:rPr>
              <w:t>'</w:t>
            </w:r>
          </w:p>
        </w:tc>
      </w:tr>
    </w:tbl>
    <w:p>
      <w:pPr>
        <w:pStyle w:val="T4dispositie"/>
        <w:rPr/>
      </w:pPr>
      <w:r>
        <w:rPr/>
      </w:r>
    </w:p>
    <w:p>
      <w:pPr>
        <w:pStyle w:val="T4dispositie"/>
        <w:rPr/>
      </w:pPr>
      <w:r>
        <w:rPr/>
        <w:t>* gereserveerd</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afsluiting</w:t>
      </w:r>
    </w:p>
    <w:p>
      <w:pPr>
        <w:pStyle w:val="T1"/>
        <w:jc w:val="start"/>
        <w:rPr>
          <w:lang w:val="nl-NL"/>
        </w:rPr>
      </w:pPr>
      <w:r>
        <w:rPr>
          <w:lang w:val="nl-NL"/>
        </w:rPr>
        <w:t>windloser</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Samenstelling vulstem</w:t>
      </w:r>
    </w:p>
    <w:p>
      <w:pPr>
        <w:pStyle w:val="Normal"/>
        <w:rPr/>
      </w:pPr>
      <w:r>
        <w:rPr>
          <w:rFonts w:cs="Times New Roman" w:ascii="Times New Roman" w:hAnsi="Times New Roman"/>
          <w:szCs w:val="24"/>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2 2/3 - 2 - 1 3/5</w:t>
      </w:r>
    </w:p>
    <w:p>
      <w:pPr>
        <w:pStyle w:val="Normal"/>
        <w:rPr>
          <w:rFonts w:ascii="Times New Roman" w:hAnsi="Times New Roman" w:cs="Times New Roman"/>
          <w:spacing w:val="-3"/>
          <w:sz w:val="20"/>
          <w:szCs w:val="24"/>
          <w:lang w:val="en-US"/>
        </w:rPr>
      </w:pPr>
      <w:r>
        <w:rPr>
          <w:rFonts w:cs="Times New Roman" w:ascii="Times New Roman" w:hAnsi="Times New Roman"/>
          <w:spacing w:val="-3"/>
          <w:sz w:val="20"/>
          <w:szCs w:val="24"/>
          <w:lang w:val="en-US"/>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rPr>
      </w:pPr>
      <w:r>
        <w:rPr>
          <w:rFonts w:cs="Times New Roman" w:ascii="Times New Roman" w:hAnsi="Times New Roman"/>
          <w:szCs w:val="24"/>
        </w:rPr>
        <w:t>C-g</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(1889)</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69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discantregisters beginnen op c</w:t>
      </w:r>
      <w:r>
        <w:rPr>
          <w:vertAlign w:val="superscript"/>
          <w:lang w:val="nl-NL"/>
        </w:rPr>
        <w:t>1</w:t>
      </w:r>
      <w:r>
        <w:rPr>
          <w:lang w:val="nl-NL"/>
        </w:rPr>
        <w:t>.</w:t>
      </w:r>
    </w:p>
    <w:p>
      <w:pPr>
        <w:pStyle w:val="T1"/>
        <w:jc w:val="start"/>
        <w:rPr/>
      </w:pPr>
      <w:r>
        <w:rPr>
          <w:lang w:val="nl-NL"/>
        </w:rPr>
        <w:t>In het front spreken E-fis</w:t>
      </w:r>
      <w:r>
        <w:rPr>
          <w:vertAlign w:val="superscript"/>
          <w:lang w:val="nl-NL"/>
        </w:rPr>
        <w:t>1</w:t>
      </w:r>
      <w:r>
        <w:rPr>
          <w:lang w:val="nl-NL"/>
        </w:rPr>
        <w:t xml:space="preserve"> van de Prestant 8</w:t>
      </w:r>
      <w:r>
        <w:rPr/>
        <w:t>'</w:t>
      </w:r>
      <w:r>
        <w:rPr>
          <w:lang w:val="nl-NL"/>
        </w:rPr>
        <w:t xml:space="preserve"> in de twee torens, het rechterzijveld en een deel van het middenveld. De pijpen in het linkerzijveld en enkele pijpen van het middenveld zijn stom. Het handklavier is een eiken staartklavier. Rond de lessenaar zijn eiken registerborden aangebracht. De sprekende registers en de afsluiting zijn boven de lessenaar geplaatst, links van het klavier bevindt zich de knop van de tremulant, rechts die van de windloser. De registeropschriften zijn op houten latten geschilderd.</w:t>
      </w:r>
    </w:p>
    <w:p>
      <w:pPr>
        <w:pStyle w:val="T1"/>
        <w:jc w:val="start"/>
        <w:rPr>
          <w:lang w:val="nl-NL"/>
        </w:rPr>
      </w:pPr>
      <w:r>
        <w:rPr>
          <w:lang w:val="nl-NL"/>
        </w:rPr>
        <w:t>De windvoorziening bevindt zich onder in de kas, de handpomp is in de rechterzijwand aangebracht. De kanalisering is van eiken, afsluiting en inliggende tremulant bevinden zich in het horizontaal kanaaldeel dat tussen de zijkant van de lade en het handklavier is geplaatst.</w:t>
      </w:r>
    </w:p>
    <w:p>
      <w:pPr>
        <w:pStyle w:val="T1"/>
        <w:jc w:val="start"/>
        <w:rPr/>
      </w:pPr>
      <w:r>
        <w:rPr>
          <w:lang w:val="nl-NL"/>
        </w:rPr>
        <w:t>Van de windlade zijn cancellenraam, ventielkast en roosters van eiken, de stokken zijn van mahonie. De ventielkast heeft twee opliggende voorslagen, vastgezet met palmhouten klemmen. Voor de gereserveerde Trompet zijn registerknop, registermechaniek, sleep en pijpstok aanwezig. De cancelvolgorde is chromatisch, als volgt ingedeeld: h-C c</w:t>
      </w:r>
      <w:r>
        <w:rPr>
          <w:vertAlign w:val="superscript"/>
          <w:lang w:val="nl-NL"/>
        </w:rPr>
        <w:t>1</w:t>
      </w:r>
      <w:r>
        <w:rPr>
          <w:lang w:val="nl-NL"/>
        </w:rPr>
        <w:t>-g</w:t>
      </w:r>
      <w:r>
        <w:rPr>
          <w:vertAlign w:val="superscript"/>
          <w:lang w:val="nl-NL"/>
        </w:rPr>
        <w:t>3</w:t>
      </w:r>
      <w:r>
        <w:rPr>
          <w:lang w:val="nl-NL"/>
        </w:rPr>
        <w:t xml:space="preserve"> (klaviatuurzijde).</w:t>
      </w:r>
    </w:p>
    <w:p>
      <w:pPr>
        <w:pStyle w:val="T1"/>
        <w:jc w:val="start"/>
        <w:rPr/>
      </w:pPr>
      <w:r>
        <w:rPr>
          <w:lang w:val="nl-NL"/>
        </w:rPr>
        <w:t>De Prestant 8</w:t>
      </w:r>
      <w:r>
        <w:rPr/>
        <w:t>'</w:t>
      </w:r>
      <w:r>
        <w:rPr>
          <w:lang w:val="nl-NL"/>
        </w:rPr>
        <w:t xml:space="preserve"> begint pas op E en staat vanaf g</w:t>
      </w:r>
      <w:r>
        <w:rPr>
          <w:vertAlign w:val="superscript"/>
          <w:lang w:val="nl-NL"/>
        </w:rPr>
        <w:t>1</w:t>
      </w:r>
      <w:r>
        <w:rPr>
          <w:lang w:val="nl-NL"/>
        </w:rPr>
        <w:t xml:space="preserve"> op de lade. De Bourdon 16</w:t>
      </w:r>
      <w:r>
        <w:rPr/>
        <w:t>'</w:t>
      </w:r>
      <w:r>
        <w:rPr>
          <w:lang w:val="nl-NL"/>
        </w:rPr>
        <w:t xml:space="preserve"> heeft eiken pijpen voor C-g. C-F zijn geplaatst vlak achter het front, achter de rechtertoren en het rechterzijveld, de vervoerstok vlak boven de vloer, Fis-cis zijn op een wat hoger niveau daarvoor op een vervoerstok geplaatst, terwijl d-g tegen de zijwand van de kas op een vervoerstok staan. C-G van de Holpijp 8</w:t>
      </w:r>
      <w:r>
        <w:rPr/>
        <w:t>'</w:t>
      </w:r>
      <w:r>
        <w:rPr>
          <w:lang w:val="nl-NL"/>
        </w:rPr>
        <w:t xml:space="preserve"> zijn van eiken, geplaatst tussen lade en front, deels achter het middenveld, deels achter de linkertoren. Van de Roerfluit 4</w:t>
      </w:r>
      <w:r>
        <w:rPr/>
        <w:t>'</w:t>
      </w:r>
      <w:r>
        <w:rPr>
          <w:lang w:val="nl-NL"/>
        </w:rPr>
        <w:t xml:space="preserve"> zijn de pijpen voor gis</w:t>
      </w:r>
      <w:r>
        <w:rPr>
          <w:vertAlign w:val="superscript"/>
          <w:lang w:val="nl-NL"/>
        </w:rPr>
        <w:t>2</w:t>
      </w:r>
      <w:r>
        <w:rPr>
          <w:lang w:val="nl-NL"/>
        </w:rPr>
        <w:t>-g</w:t>
      </w:r>
      <w:r>
        <w:rPr>
          <w:vertAlign w:val="superscript"/>
          <w:lang w:val="nl-NL"/>
        </w:rPr>
        <w:t>3</w:t>
      </w:r>
      <w:r>
        <w:rPr>
          <w:lang w:val="nl-NL"/>
        </w:rPr>
        <w:t xml:space="preserve"> open, licht conisch. Alle metalen binnenpijpwerk is voorzien van spits geritste labia.</w:t>
      </w:r>
    </w:p>
    <w:p>
      <w:pPr>
        <w:pStyle w:val="T1"/>
        <w:jc w:val="start"/>
        <w:rPr/>
      </w:pPr>
      <w:r>
        <w:rPr>
          <w:lang w:val="nl-NL"/>
        </w:rPr>
        <w:t>Expressions zijn toegepast bij alle binnenpijpen van de Prestant 8</w:t>
      </w:r>
      <w:r>
        <w:rPr/>
        <w:t>'</w:t>
      </w:r>
      <w:r>
        <w:rPr>
          <w:lang w:val="nl-NL"/>
        </w:rPr>
        <w:t>, de gehele Violon 8</w:t>
      </w:r>
      <w:r>
        <w:rPr/>
        <w:t>'</w:t>
      </w:r>
      <w:r>
        <w:rPr>
          <w:lang w:val="nl-NL"/>
        </w:rPr>
        <w:t>, en bij de Octaaf 4</w:t>
      </w:r>
      <w:r>
        <w:rPr/>
        <w:t>'</w:t>
      </w:r>
      <w:r>
        <w:rPr>
          <w:lang w:val="nl-NL"/>
        </w:rPr>
        <w:t xml:space="preserve"> (C-h) en de Octaaf 2</w:t>
      </w:r>
      <w:r>
        <w:rPr/>
        <w:t>'</w:t>
      </w:r>
      <w:r>
        <w:rPr>
          <w:lang w:val="nl-NL"/>
        </w:rPr>
        <w:t xml:space="preserve"> (C-B).</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2007-02-12T14:52:00Z</dcterms:created>
  <dc:creator>WS1</dc:creator>
  <dc:description/>
  <dc:language>en-US</dc:language>
  <cp:lastModifiedBy>WS1</cp:lastModifiedBy>
  <dcterms:modified xsi:type="dcterms:W3CDTF">2007-02-12T14:52:00Z</dcterms:modified>
  <cp:revision>2</cp:revision>
  <dc:subject/>
  <dc:title>Olst / 1880</dc:title>
</cp:coreProperties>
</file>