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Oosterzee / 1891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Neoclassicistische zaalkerk met geveltoren voorzien van opengewerkte koepelbekroning, gebouwd in 1860. De voorgevel wordt geleed door eenvoudige pilasters. Inwendig houten tongewelf. Inrichtingsstukken uit de bouwtijd.</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orgel met het meest verbreide Van Dam-front, van het type Britswerd (1868, deel 1865-1872, 153-155): een ongedeelde middentoren, vlakke tweedelige torenvelden, holle ongedeelde tussenvelden met verhoogde frontstokken en ronde zijtorens.</w:t>
      </w:r>
    </w:p>
    <w:p>
      <w:pPr>
        <w:pStyle w:val="T2Kunst"/>
        <w:jc w:val="start"/>
        <w:rPr>
          <w:lang w:val="nl-NL"/>
        </w:rPr>
      </w:pPr>
      <w:r>
        <w:rPr>
          <w:lang w:val="nl-NL"/>
        </w:rPr>
        <w:t>De decoratie wordt beheerst door voluutvormen, meestal C-voluten waaruit een extra rank voortkomt die het geheel tot een S-voluut maakt. Bij de torens en de torenvelden zijn de blinderingen aan de pijpvoeten en pijpuiteinden min of meer elkaars spiegelbeeld. Bovenin de tussenvelden, onder de S-vormige bovenlijst, ziet men een bladrank en op de middenpartij een door voluten ondersteunde cartouche met kruis, anker en in het midden een hart, geloof, hoop en liefde, een symboliek die bij veel Van Dam-orgels uit deze tijd optreedt. Op de zijtorens door C-voluten gesteunde cartouches. De vleugelstukken zijn van het gebruikelijke model; S-ranken met C-voluten erin verwerkt en ruitwerk op enige cruciale punten. De consoles onder de toren zijn gedecoreerd met gekoppelde C-voluten.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iCs/>
          <w:lang w:val="nl-NL"/>
        </w:rPr>
        <w:t>Vijf eeuwen Friese orgelbouw</w:t>
      </w:r>
      <w:r>
        <w:rPr>
          <w:lang w:val="nl-NL"/>
        </w:rPr>
        <w:t>. Leeuwarden, 2004, 94, 202.</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h</w:t>
      </w:r>
    </w:p>
    <w:p>
      <w:pPr>
        <w:pStyle w:val="T3Lit"/>
        <w:jc w:val="start"/>
        <w:rPr>
          <w:lang w:val="nl-NL"/>
        </w:rPr>
      </w:pPr>
      <w:r>
        <w:rPr>
          <w:lang w:val="nl-NL"/>
        </w:rPr>
        <w:t>Hervormde Gemeente Oosterzee.</w:t>
      </w:r>
    </w:p>
    <w:p>
      <w:pPr>
        <w:pStyle w:val="T3Lit"/>
        <w:jc w:val="start"/>
        <w:rPr>
          <w:lang w:val="nl-NL"/>
        </w:rPr>
      </w:pPr>
      <w:r>
        <w:rPr>
          <w:lang w:val="nl-NL"/>
        </w:rPr>
      </w:r>
    </w:p>
    <w:p>
      <w:pPr>
        <w:pStyle w:val="T3Lit"/>
        <w:rPr>
          <w:lang w:val="nl-NL"/>
        </w:rPr>
      </w:pPr>
      <w:r>
        <w:rPr>
          <w:lang w:val="nl-NL"/>
        </w:rPr>
        <w:t>Monumentnummer 25785</w:t>
      </w:r>
    </w:p>
    <w:p>
      <w:pPr>
        <w:pStyle w:val="T3Lit"/>
        <w:rPr>
          <w:lang w:val="nl-NL"/>
        </w:rPr>
      </w:pPr>
      <w:r>
        <w:rPr>
          <w:lang w:val="nl-NL"/>
        </w:rPr>
        <w:t>Orgelnummer 1156</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Biezelinge, Hervormde Kerk</w:t>
      </w:r>
    </w:p>
    <w:p>
      <w:pPr>
        <w:pStyle w:val="T1"/>
        <w:jc w:val="start"/>
        <w:rPr>
          <w:lang w:val="nl-NL"/>
        </w:rPr>
      </w:pPr>
      <w:r>
        <w:rPr>
          <w:lang w:val="nl-NL"/>
        </w:rPr>
      </w:r>
    </w:p>
    <w:p>
      <w:pPr>
        <w:pStyle w:val="T1"/>
        <w:jc w:val="start"/>
        <w:rPr>
          <w:lang w:val="nl-NL"/>
        </w:rPr>
      </w:pPr>
      <w:r>
        <w:rPr>
          <w:lang w:val="nl-NL"/>
        </w:rPr>
        <w:t>L. van Dam en Zonen 1908</w:t>
      </w:r>
    </w:p>
    <w:p>
      <w:pPr>
        <w:pStyle w:val="T1"/>
        <w:jc w:val="start"/>
        <w:rPr>
          <w:lang w:val="nl-NL"/>
        </w:rPr>
      </w:pPr>
      <w:r>
        <w:rPr>
          <w:lang w:val="nl-NL"/>
        </w:rPr>
        <w:t>.</w:t>
        <w:tab/>
        <w:t>orgel overgeplaatst naar Oosterzee, Hervormde Kerk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510"/>
        <w:gridCol w:w="540"/>
      </w:tblGrid>
      <w:tr>
        <w:trPr/>
        <w:tc>
          <w:tcPr>
            <w:tcW w:w="1510"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 D</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Flute d´amour</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szCs w:val="24"/>
          <w:lang w:val="nl-NL"/>
        </w:rPr>
      </w:pPr>
      <w:r>
        <w:rPr>
          <w:szCs w:val="24"/>
          <w:lang w:val="nl-NL"/>
        </w:rPr>
        <w:t>Werktuiglijke registers</w:t>
      </w:r>
    </w:p>
    <w:p>
      <w:pPr>
        <w:pStyle w:val="T1"/>
        <w:jc w:val="start"/>
        <w:rPr>
          <w:szCs w:val="24"/>
          <w:lang w:val="nl-NL"/>
        </w:rPr>
      </w:pPr>
      <w:r>
        <w:rPr>
          <w:szCs w:val="24"/>
          <w:lang w:val="nl-NL"/>
        </w:rPr>
        <w:t>tremulant</w:t>
      </w:r>
    </w:p>
    <w:p>
      <w:pPr>
        <w:pStyle w:val="T1"/>
        <w:jc w:val="start"/>
        <w:rPr>
          <w:szCs w:val="24"/>
          <w:lang w:val="nl-NL"/>
        </w:rPr>
      </w:pPr>
      <w:r>
        <w:rPr>
          <w:szCs w:val="24"/>
          <w:lang w:val="nl-NL"/>
        </w:rPr>
        <w:t>ventiel</w:t>
      </w:r>
    </w:p>
    <w:p>
      <w:pPr>
        <w:pStyle w:val="T1"/>
        <w:jc w:val="start"/>
        <w:rPr>
          <w:szCs w:val="24"/>
          <w:lang w:val="nl-NL"/>
        </w:rPr>
      </w:pPr>
      <w:r>
        <w:rPr>
          <w:szCs w:val="24"/>
          <w:lang w:val="nl-NL"/>
        </w:rPr>
      </w:r>
    </w:p>
    <w:p>
      <w:pPr>
        <w:pStyle w:val="T1"/>
        <w:jc w:val="start"/>
        <w:rPr>
          <w:szCs w:val="24"/>
          <w:lang w:val="nl-NL"/>
        </w:rPr>
      </w:pPr>
      <w:r>
        <w:rPr>
          <w:szCs w:val="24"/>
          <w:lang w:val="nl-NL"/>
        </w:rPr>
        <w:t>Samenstelling vulstem</w:t>
      </w:r>
    </w:p>
    <w:p>
      <w:pPr>
        <w:pStyle w:val="T1"/>
        <w:jc w:val="start"/>
        <w:rPr>
          <w:szCs w:val="24"/>
          <w:lang w:val="nl-NL"/>
        </w:rPr>
      </w:pPr>
      <w:r>
        <w:rPr>
          <w:szCs w:val="24"/>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szCs w:val="24"/>
          <w:lang w:val="nl-NL"/>
        </w:rPr>
      </w:pPr>
      <w:r>
        <w:rPr>
          <w:szCs w:val="24"/>
          <w:lang w:val="nl-NL"/>
        </w:rPr>
      </w:r>
    </w:p>
    <w:p>
      <w:pPr>
        <w:pStyle w:val="T1"/>
        <w:jc w:val="start"/>
        <w:rPr>
          <w:szCs w:val="24"/>
          <w:lang w:val="nl-NL"/>
        </w:rPr>
      </w:pPr>
      <w:r>
        <w:rPr>
          <w:szCs w:val="24"/>
          <w:lang w:val="nl-NL"/>
        </w:rPr>
        <w:t>Toonhoogte</w:t>
      </w:r>
    </w:p>
    <w:p>
      <w:pPr>
        <w:pStyle w:val="T1"/>
        <w:jc w:val="start"/>
        <w:rPr/>
      </w:pPr>
      <w:r>
        <w:rPr>
          <w:szCs w:val="24"/>
          <w:lang w:val="nl-NL"/>
        </w:rPr>
        <w:t>a</w:t>
      </w:r>
      <w:r>
        <w:rPr>
          <w:szCs w:val="24"/>
          <w:vertAlign w:val="superscript"/>
          <w:lang w:val="nl-NL"/>
        </w:rPr>
        <w:t>1</w:t>
      </w:r>
      <w:r>
        <w:rPr>
          <w:szCs w:val="24"/>
          <w:lang w:val="nl-NL"/>
        </w:rPr>
        <w:t xml:space="preserve"> = 432 Hz</w:t>
      </w:r>
    </w:p>
    <w:p>
      <w:pPr>
        <w:pStyle w:val="T1"/>
        <w:jc w:val="start"/>
        <w:rPr>
          <w:szCs w:val="24"/>
          <w:lang w:val="nl-NL"/>
        </w:rPr>
      </w:pPr>
      <w:r>
        <w:rPr>
          <w:szCs w:val="24"/>
          <w:lang w:val="nl-NL"/>
        </w:rPr>
        <w:t>Temperatuur</w:t>
      </w:r>
    </w:p>
    <w:p>
      <w:pPr>
        <w:pStyle w:val="T1"/>
        <w:jc w:val="start"/>
        <w:rPr>
          <w:szCs w:val="24"/>
          <w:lang w:val="nl-NL"/>
        </w:rPr>
      </w:pPr>
      <w:r>
        <w:rPr>
          <w:szCs w:val="24"/>
          <w:lang w:val="nl-NL"/>
        </w:rPr>
        <w:t>evenredig zwevend</w:t>
      </w:r>
    </w:p>
    <w:p>
      <w:pPr>
        <w:pStyle w:val="T1"/>
        <w:jc w:val="start"/>
        <w:rPr>
          <w:szCs w:val="24"/>
          <w:lang w:val="nl-NL"/>
        </w:rPr>
      </w:pPr>
      <w:r>
        <w:rPr>
          <w:szCs w:val="24"/>
          <w:lang w:val="nl-NL"/>
        </w:rPr>
      </w:r>
    </w:p>
    <w:p>
      <w:pPr>
        <w:pStyle w:val="T1"/>
        <w:jc w:val="start"/>
        <w:rPr>
          <w:szCs w:val="24"/>
          <w:lang w:val="nl-NL"/>
        </w:rPr>
      </w:pPr>
      <w:r>
        <w:rPr>
          <w:szCs w:val="24"/>
          <w:lang w:val="nl-NL"/>
        </w:rPr>
        <w:t>Manuaalomvang</w:t>
      </w:r>
    </w:p>
    <w:p>
      <w:pPr>
        <w:pStyle w:val="T1"/>
        <w:jc w:val="start"/>
        <w:rPr/>
      </w:pPr>
      <w:r>
        <w:rPr>
          <w:szCs w:val="24"/>
          <w:lang w:val="nl-NL"/>
        </w:rPr>
        <w:t>C-g</w:t>
      </w:r>
      <w:r>
        <w:rPr>
          <w:szCs w:val="24"/>
          <w:vertAlign w:val="superscript"/>
          <w:lang w:val="nl-NL"/>
        </w:rPr>
        <w:t>3</w:t>
      </w:r>
    </w:p>
    <w:p>
      <w:pPr>
        <w:pStyle w:val="T1"/>
        <w:jc w:val="start"/>
        <w:rPr>
          <w:szCs w:val="24"/>
          <w:lang w:val="nl-NL"/>
        </w:rPr>
      </w:pPr>
      <w:r>
        <w:rPr>
          <w:szCs w:val="24"/>
          <w:lang w:val="nl-NL"/>
        </w:rPr>
        <w:t>Pedaalomvang</w:t>
      </w:r>
    </w:p>
    <w:p>
      <w:pPr>
        <w:pStyle w:val="T1"/>
        <w:jc w:val="start"/>
        <w:rPr>
          <w:szCs w:val="24"/>
          <w:lang w:val="nl-NL"/>
        </w:rPr>
      </w:pPr>
      <w:r>
        <w:rPr>
          <w:szCs w:val="24"/>
          <w:lang w:val="nl-NL"/>
        </w:rPr>
        <w:t>C-g</w:t>
      </w:r>
    </w:p>
    <w:p>
      <w:pPr>
        <w:pStyle w:val="T1"/>
        <w:jc w:val="start"/>
        <w:rPr>
          <w:szCs w:val="24"/>
          <w:lang w:val="nl-NL"/>
        </w:rPr>
      </w:pPr>
      <w:r>
        <w:rPr>
          <w:szCs w:val="24"/>
          <w:lang w:val="nl-NL"/>
        </w:rPr>
      </w:r>
    </w:p>
    <w:p>
      <w:pPr>
        <w:pStyle w:val="T1"/>
        <w:jc w:val="start"/>
        <w:rPr>
          <w:szCs w:val="24"/>
          <w:lang w:val="nl-NL"/>
        </w:rPr>
      </w:pPr>
      <w:r>
        <w:rPr>
          <w:szCs w:val="24"/>
          <w:lang w:val="nl-NL"/>
        </w:rPr>
        <w:t>Windvoorziening</w:t>
      </w:r>
    </w:p>
    <w:p>
      <w:pPr>
        <w:pStyle w:val="T1"/>
        <w:jc w:val="start"/>
        <w:rPr>
          <w:szCs w:val="24"/>
          <w:lang w:val="nl-NL"/>
        </w:rPr>
      </w:pPr>
      <w:r>
        <w:rPr>
          <w:szCs w:val="24"/>
          <w:lang w:val="nl-NL"/>
        </w:rPr>
        <w:t>magazijnbalg met twee schepbalgen en handpomp (1891)</w:t>
      </w:r>
    </w:p>
    <w:p>
      <w:pPr>
        <w:pStyle w:val="T1"/>
        <w:jc w:val="start"/>
        <w:rPr>
          <w:szCs w:val="24"/>
          <w:lang w:val="nl-NL"/>
        </w:rPr>
      </w:pPr>
      <w:r>
        <w:rPr>
          <w:szCs w:val="24"/>
          <w:lang w:val="nl-NL"/>
        </w:rPr>
        <w:t>Winddruk</w:t>
      </w:r>
    </w:p>
    <w:p>
      <w:pPr>
        <w:pStyle w:val="T1"/>
        <w:jc w:val="start"/>
        <w:rPr>
          <w:szCs w:val="24"/>
          <w:lang w:val="nl-NL"/>
        </w:rPr>
      </w:pPr>
      <w:r>
        <w:rPr>
          <w:szCs w:val="24"/>
          <w:lang w:val="nl-NL"/>
        </w:rPr>
        <w:t>60 mm</w:t>
      </w:r>
    </w:p>
    <w:p>
      <w:pPr>
        <w:pStyle w:val="T1"/>
        <w:jc w:val="start"/>
        <w:rPr>
          <w:szCs w:val="24"/>
          <w:lang w:val="nl-NL"/>
        </w:rPr>
      </w:pPr>
      <w:r>
        <w:rPr>
          <w:szCs w:val="24"/>
          <w:lang w:val="nl-NL"/>
        </w:rPr>
      </w:r>
    </w:p>
    <w:p>
      <w:pPr>
        <w:pStyle w:val="T1"/>
        <w:jc w:val="start"/>
        <w:rPr>
          <w:szCs w:val="24"/>
          <w:lang w:val="nl-NL"/>
        </w:rPr>
      </w:pPr>
      <w:r>
        <w:rPr>
          <w:szCs w:val="24"/>
          <w:lang w:val="nl-NL"/>
        </w:rPr>
        <w:t>Plaats klaviatuur</w:t>
      </w:r>
    </w:p>
    <w:p>
      <w:pPr>
        <w:pStyle w:val="T1"/>
        <w:jc w:val="start"/>
        <w:rPr>
          <w:szCs w:val="24"/>
          <w:lang w:val="nl-NL"/>
        </w:rPr>
      </w:pPr>
      <w:r>
        <w:rPr>
          <w:szCs w:val="24"/>
          <w:lang w:val="nl-NL"/>
        </w:rPr>
        <w:t>linkerzijde</w:t>
      </w:r>
    </w:p>
    <w:p>
      <w:pPr>
        <w:pStyle w:val="T1"/>
        <w:jc w:val="start"/>
        <w:rPr>
          <w:szCs w:val="24"/>
          <w:lang w:val="nl-NL"/>
        </w:rPr>
      </w:pPr>
      <w:r>
        <w:rPr>
          <w:szCs w:val="24"/>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Uit de cancelvolgorde van de lade en de grote overtollige ruimte boven de lange registertrekstokken kan worden afgeleid dat bij de opzet van het orgel rekening gehouden is met de latere toevoeging van een DW als tweede manuaal.</w:t>
      </w:r>
    </w:p>
    <w:p>
      <w:pPr>
        <w:pStyle w:val="T1"/>
        <w:jc w:val="start"/>
        <w:rPr>
          <w:lang w:val="nl-NL"/>
        </w:rPr>
      </w:pPr>
      <w:r>
        <w:rPr>
          <w:lang w:val="nl-NL"/>
        </w:rPr>
        <w:t>De tinnen frontpijpen zijn vrijwel alle sprekend; alleen de pijpen in de smalle bovenste tussenveldjes zijn stom.</w:t>
      </w:r>
    </w:p>
    <w:p>
      <w:pPr>
        <w:pStyle w:val="T1"/>
        <w:jc w:val="start"/>
        <w:rPr>
          <w:lang w:val="nl-NL"/>
        </w:rPr>
      </w:pPr>
      <w:r>
        <w:rPr>
          <w:lang w:val="nl-NL"/>
        </w:rPr>
        <w:t>Alle delen van de klaviatuur zijn authentiek uit 1891. Het handklavier is een eiken staartklavier. Het beleg op de ondertoetsen is nog het originele ivoor van 1891. De bakstukken zijn zwart, rechthoekig van vorm. De registerknoppen van de sprekende registers zijn op een zuiver horizontale lijn boven de lessenaar geplaatst. Het mooie knopmodel van de jaren zeventig en tachtig is hier nog toegepast, de registeropschriften zijn met goudletters (kapitalen) op een zwarte naamlat geschilderd. Het eiken pedaalklavier heeft korte boventoetsen van gelijke lengte.</w:t>
      </w:r>
    </w:p>
    <w:p>
      <w:pPr>
        <w:pStyle w:val="T1"/>
        <w:jc w:val="start"/>
        <w:rPr>
          <w:lang w:val="nl-NL"/>
        </w:rPr>
      </w:pPr>
      <w:r>
        <w:rPr>
          <w:lang w:val="nl-NL"/>
        </w:rPr>
        <w:t>Het windtoestel is in de onderkas geplaatst. Handpomp en windzicht zijn in de rechter zijwand aangebracht. De kanalisering is van eiken. De tremulant is een inliggend exemplaar.</w:t>
      </w:r>
    </w:p>
    <w:p>
      <w:pPr>
        <w:pStyle w:val="T1"/>
        <w:jc w:val="start"/>
        <w:rPr/>
      </w:pPr>
      <w:r>
        <w:rPr>
          <w:lang w:val="nl-NL"/>
        </w:rPr>
        <w:t>De windlade is van eiken. Behalve de stokken, die van mahonie zijn. De ventielkast is afgesloten met twee opliggende voorslagen, vastgezet met palmhouten klemmen. De cancelvolgorde is chromatisch, als volgt: h-C c</w:t>
      </w:r>
      <w:r>
        <w:rPr>
          <w:vertAlign w:val="superscript"/>
          <w:lang w:val="nl-NL"/>
        </w:rPr>
        <w:t>1</w:t>
      </w:r>
      <w:r>
        <w:rPr>
          <w:lang w:val="nl-NL"/>
        </w:rPr>
        <w:t>-g</w:t>
      </w:r>
      <w:r>
        <w:rPr>
          <w:vertAlign w:val="superscript"/>
          <w:lang w:val="nl-NL"/>
        </w:rPr>
        <w:t>3</w:t>
      </w:r>
      <w:r>
        <w:rPr>
          <w:lang w:val="nl-NL"/>
        </w:rPr>
        <w:t xml:space="preserve"> (klaviatuurzijde).</w:t>
      </w:r>
    </w:p>
    <w:p>
      <w:pPr>
        <w:pStyle w:val="T1"/>
        <w:jc w:val="start"/>
        <w:rPr>
          <w:lang w:val="nl-NL"/>
        </w:rPr>
      </w:pPr>
      <w:r>
        <w:rPr>
          <w:lang w:val="nl-NL"/>
        </w:rPr>
        <w:t>Onder de lade bevindt zich een eiken walsraam met grenen walsen en metalen walsarmen.</w:t>
      </w:r>
    </w:p>
    <w:p>
      <w:pPr>
        <w:pStyle w:val="T1"/>
        <w:jc w:val="start"/>
        <w:rPr/>
      </w:pPr>
      <w:r>
        <w:rPr>
          <w:lang w:val="nl-NL"/>
        </w:rPr>
        <w:t>Van de Prestant 8' spreken C-d in de drie torens van het front, dis en e staan op de lade, f-b staan in een van de ongedeelde velden, h en c</w:t>
      </w:r>
      <w:r>
        <w:rPr>
          <w:vertAlign w:val="superscript"/>
          <w:lang w:val="nl-NL"/>
        </w:rPr>
        <w:t>1</w:t>
      </w:r>
      <w:r>
        <w:rPr>
          <w:lang w:val="nl-NL"/>
        </w:rPr>
        <w:t xml:space="preserve"> staan op de lade, cis</w:t>
      </w:r>
      <w:r>
        <w:rPr>
          <w:vertAlign w:val="superscript"/>
          <w:lang w:val="nl-NL"/>
        </w:rPr>
        <w:t>1</w:t>
      </w:r>
      <w:r>
        <w:rPr>
          <w:lang w:val="nl-NL"/>
        </w:rPr>
        <w:t>-b</w:t>
      </w:r>
      <w:r>
        <w:rPr>
          <w:vertAlign w:val="superscript"/>
          <w:lang w:val="nl-NL"/>
        </w:rPr>
        <w:t>1</w:t>
      </w:r>
      <w:r>
        <w:rPr>
          <w:lang w:val="nl-NL"/>
        </w:rPr>
        <w:t xml:space="preserve"> spreken in de onderste smalle veldjes van het front, het vervolg staat op de lade. De Violon 8' is van C-H gecombineerd met de Holpijp 8', c-f staan in een van de ongedeelde velden van het front, vanaf fis staan de pijpen op de lade. C-G van de Holpijp 8' zijn van eiken. Ze staan tussen lade en front op een vervoerstok. De Flute d’amour is van C-e gedekt, het vervolg is open, licht conisch, wijd gemensureerd. De Cornet staat op de lade. Expressions zijn toegepast bij alle binnenpijpen van Prestant en Violon, en verder bij de Octaaf 4' (C-h), de Flute d’amour 4' (f-e</w:t>
      </w:r>
      <w:r>
        <w:rPr>
          <w:vertAlign w:val="superscript"/>
          <w:lang w:val="nl-NL"/>
        </w:rPr>
        <w:t>1</w:t>
      </w:r>
      <w:r>
        <w:rPr>
          <w:lang w:val="nl-NL"/>
        </w:rPr>
        <w:t>) en de Octaaf 2' (C-H).</w:t>
      </w:r>
    </w:p>
    <w:p>
      <w:pPr>
        <w:pStyle w:val="T1"/>
        <w:jc w:val="start"/>
        <w:rPr>
          <w:lang w:val="nl-NL"/>
        </w:rPr>
      </w:pPr>
      <w:r>
        <w:rPr>
          <w:lang w:val="nl-NL"/>
        </w:rPr>
        <w:t>De Trompet heeft stevels en koppen van mahonie, met ingeslagen tonnamen op beide onderdelen. Alle bekers zijn van metaal, trechtervormig.</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2007-02-12T16:44:00Z</dcterms:created>
  <dc:creator>WS1</dc:creator>
  <dc:description/>
  <dc:language>en-US</dc:language>
  <cp:lastModifiedBy>WS1</cp:lastModifiedBy>
  <dcterms:modified xsi:type="dcterms:W3CDTF">2007-02-13T09:26:00Z</dcterms:modified>
  <cp:revision>3</cp:revision>
  <dc:subject/>
  <dc:title>Olst / 1880</dc:title>
</cp:coreProperties>
</file>