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Schettens / 1891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uit 1865 met toren uit 1877, op de plaats van een ouder gebouw. In de kerk diverse renaissance grafzerken.</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Vries namen de gebroeders Van Oeckelen voor het eerst het door hun vader vaak toegepaste zevendelige frontmodel met gedeelde zijvelden over, dat uiteindelijk terugging op A.A. Hinsz. Petrus van Oeckelen paste dit frontmodel voor het eerst toe in Breede (1849, deel 1840-1849, 366-368) met spitse zijtorens. Zijn eerste versie met ronde zijtorens is te vinden in Akkrum (1856, deel 1850-1858, 272-274). Het door Petrus van Oeckelen ontwikkelde model Noordlaren (1876, deel 1872-1878, 291-292) met smalle torenvelden vinden wij bij zijn zonen voor het eerst in 1879 in drie verschillende varianten: in Den Andel, Hardegarijp en Nieuw Buinen (deel 1878-1886, 69-70, 78-80, 91-92).</w:t>
      </w:r>
    </w:p>
    <w:p>
      <w:pPr>
        <w:pStyle w:val="T2Kunst"/>
        <w:jc w:val="start"/>
        <w:rPr>
          <w:lang w:val="nl-NL"/>
        </w:rPr>
      </w:pPr>
      <w:r>
        <w:rPr>
          <w:lang w:val="nl-NL"/>
        </w:rPr>
        <w:t>In het orgel in Schettens worden beide concepten gecombineerd tot een negendelige frontopbouw: een ronde middentoren, begeleid door torenvelden van twee pijpen, vervolgens tweedelige tussenvelden, ronde zijtorens en gedeelde geronde zijvelden. De gebroeders Van Oeckelen hadden in 1889 een variant van het model Noordlaren met spitse zijtorens geleverd aan de Lutherse Kerk in Breda. Alledrie de torens zijn voorzien van gecanneleerde verhoogde frontstokken, zoals voor het eerst toegepast in Delfzijl in (1889).</w:t>
      </w:r>
    </w:p>
    <w:p>
      <w:pPr>
        <w:pStyle w:val="T2Kunst"/>
        <w:jc w:val="start"/>
        <w:rPr>
          <w:lang w:val="nl-NL"/>
        </w:rPr>
      </w:pPr>
      <w:r>
        <w:rPr>
          <w:lang w:val="nl-NL"/>
        </w:rPr>
        <w:t>In het blinderingssnijwerk overheerst het eikenblad; alleen in de middentoren zijn vrij transparante golfranken met bloemen in verder vrij onduidelijke vormen aangebracht. Opmerkelijk zijn de vleugelstukken met hun rijk bebladerde rankwerk, waarin een rank uit een soort kelk voortkomt en waar beneden een vorm is te zien die enigszins aan een dierenkop herinnert. Op de torens gecanneleerde basementen, hier vrij laag; die op de middentoren dient als basis voor een lier met hoorns van overvloed en op de zijtorens voor gelobde vazen.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Leeuwarden, 2004, 155, 206.</w:t>
      </w:r>
    </w:p>
    <w:p>
      <w:pPr>
        <w:pStyle w:val="T3Lit"/>
        <w:rPr/>
      </w:pPr>
      <w:r>
        <w:rPr>
          <w:i/>
          <w:iCs/>
          <w:lang w:val="nl-NL"/>
        </w:rPr>
        <w:t>Het Orgel</w:t>
      </w:r>
      <w:r>
        <w:rPr>
          <w:lang w:val="nl-NL"/>
        </w:rPr>
        <w:t>, 5/12 (1891); 6/7 (1891).</w:t>
      </w:r>
    </w:p>
    <w:p>
      <w:pPr>
        <w:pStyle w:val="T3Lit"/>
        <w:rPr>
          <w:lang w:val="nl-NL"/>
        </w:rPr>
      </w:pPr>
      <w:r>
        <w:rPr>
          <w:lang w:val="nl-NL"/>
        </w:rPr>
      </w:r>
    </w:p>
    <w:p>
      <w:pPr>
        <w:pStyle w:val="T3Lit"/>
        <w:rPr>
          <w:b/>
          <w:b/>
          <w:bCs/>
          <w:lang w:val="nl-NL"/>
        </w:rPr>
      </w:pPr>
      <w:r>
        <w:rPr>
          <w:b/>
          <w:bCs/>
          <w:lang w:val="nl-NL"/>
        </w:rPr>
        <w:t>Niet gepubliceerde bronnen</w:t>
      </w:r>
    </w:p>
    <w:p>
      <w:pPr>
        <w:pStyle w:val="T3Lit"/>
        <w:rPr/>
      </w:pPr>
      <w:r>
        <w:rPr>
          <w:lang w:val="nl-NL"/>
        </w:rPr>
        <w:t xml:space="preserve">Jan Jongepier, </w:t>
      </w:r>
      <w:r>
        <w:rPr>
          <w:i/>
          <w:iCs/>
          <w:lang w:val="nl-NL"/>
        </w:rPr>
        <w:t>Rapport over het orgel in de Hervormde Kerk te Schettens</w:t>
      </w:r>
      <w:r>
        <w:rPr>
          <w:lang w:val="nl-NL"/>
        </w:rPr>
        <w:t>. Leeuwarden, 2000.</w:t>
      </w:r>
    </w:p>
    <w:p>
      <w:pPr>
        <w:pStyle w:val="T3Lit"/>
        <w:rPr>
          <w:lang w:val="nl-NL"/>
        </w:rPr>
      </w:pPr>
      <w:r>
        <w:rPr>
          <w:lang w:val="nl-NL"/>
        </w:rPr>
        <w:t>Orgelarchief Peter van Dijk.</w:t>
      </w:r>
    </w:p>
    <w:p>
      <w:pPr>
        <w:pStyle w:val="T3Lit"/>
        <w:rPr>
          <w:lang w:val="nl-NL"/>
        </w:rPr>
      </w:pPr>
      <w:r>
        <w:rPr>
          <w:lang w:val="nl-NL"/>
        </w:rPr>
      </w:r>
    </w:p>
    <w:p>
      <w:pPr>
        <w:pStyle w:val="T3Lit"/>
        <w:rPr>
          <w:lang w:val="nl-NL"/>
        </w:rPr>
      </w:pPr>
      <w:r>
        <w:rPr>
          <w:lang w:val="nl-NL"/>
        </w:rPr>
        <w:t>Monumentnummer 39429</w:t>
      </w:r>
    </w:p>
    <w:p>
      <w:pPr>
        <w:pStyle w:val="T3Lit"/>
        <w:rPr>
          <w:lang w:val="nl-NL"/>
        </w:rPr>
      </w:pPr>
      <w:r>
        <w:rPr>
          <w:lang w:val="nl-NL"/>
        </w:rPr>
        <w:t>Orgelnummer 1333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D. Wiersma 1963</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orgelkas in imitatie-eiken geschilderd</w:t>
      </w:r>
    </w:p>
    <w:p>
      <w:pPr>
        <w:pStyle w:val="T1"/>
        <w:jc w:val="start"/>
        <w:rPr>
          <w:lang w:val="nl-NL"/>
        </w:rPr>
      </w:pPr>
      <w:r>
        <w:rPr>
          <w:lang w:val="nl-NL"/>
        </w:rPr>
        <w:t>.</w:t>
        <w:tab/>
        <w:t>tremulant (pneumatisch) toegevoegd</w:t>
      </w:r>
    </w:p>
    <w:p>
      <w:pPr>
        <w:pStyle w:val="T1"/>
        <w:jc w:val="start"/>
        <w:rPr>
          <w:lang w:val="nl-NL"/>
        </w:rPr>
      </w:pPr>
      <w:r>
        <w:rPr>
          <w:lang w:val="nl-NL"/>
        </w:rPr>
      </w:r>
    </w:p>
    <w:p>
      <w:pPr>
        <w:pStyle w:val="T1"/>
        <w:jc w:val="start"/>
        <w:rPr>
          <w:lang w:val="nl-NL"/>
        </w:rPr>
      </w:pPr>
      <w:r>
        <w:rPr>
          <w:lang w:val="nl-NL"/>
        </w:rPr>
        <w:t>Mense Ruiter Orgelmakers 2002</w:t>
      </w:r>
    </w:p>
    <w:p>
      <w:pPr>
        <w:pStyle w:val="T1"/>
        <w:jc w:val="start"/>
        <w:rPr>
          <w:lang w:val="nl-NL"/>
        </w:rPr>
      </w:pPr>
      <w:r>
        <w:rPr>
          <w:lang w:val="nl-NL"/>
        </w:rPr>
        <w:t>.</w:t>
        <w:tab/>
        <w:t>klaviatuur en registerknoppen hersteld</w:t>
      </w:r>
    </w:p>
    <w:p>
      <w:pPr>
        <w:pStyle w:val="T1"/>
        <w:jc w:val="start"/>
        <w:rPr>
          <w:lang w:val="nl-NL"/>
        </w:rPr>
      </w:pPr>
      <w:r>
        <w:rPr>
          <w:lang w:val="nl-NL"/>
        </w:rPr>
      </w:r>
    </w:p>
    <w:p>
      <w:pPr>
        <w:pStyle w:val="T1"/>
        <w:jc w:val="start"/>
        <w:rPr>
          <w:lang w:val="nl-NL"/>
        </w:rPr>
      </w:pPr>
      <w:r>
        <w:rPr>
          <w:lang w:val="nl-NL"/>
        </w:rPr>
        <w:t>Mense Ruiter Orgelmakers 2004</w:t>
      </w:r>
    </w:p>
    <w:p>
      <w:pPr>
        <w:pStyle w:val="T1"/>
        <w:jc w:val="start"/>
        <w:rPr>
          <w:lang w:val="nl-NL"/>
        </w:rPr>
      </w:pPr>
      <w:r>
        <w:rPr>
          <w:lang w:val="nl-NL"/>
        </w:rPr>
        <w:t>.</w:t>
        <w:tab/>
        <w:t>pijpwerk schoongemaakt 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385" w:type="dxa"/>
        <w:jc w:val="start"/>
        <w:tblInd w:w="-70" w:type="dxa"/>
        <w:tblLayout w:type="fixed"/>
        <w:tblCellMar>
          <w:top w:w="0" w:type="dxa"/>
          <w:start w:w="70" w:type="dxa"/>
          <w:bottom w:w="0" w:type="dxa"/>
          <w:end w:w="70" w:type="dxa"/>
        </w:tblCellMar>
      </w:tblPr>
      <w:tblGrid>
        <w:gridCol w:w="1600"/>
        <w:gridCol w:w="631"/>
        <w:gridCol w:w="1690"/>
        <w:gridCol w:w="718"/>
        <w:gridCol w:w="1011"/>
        <w:gridCol w:w="735"/>
      </w:tblGrid>
      <w:tr>
        <w:trPr/>
        <w:tc>
          <w:tcPr>
            <w:tcW w:w="1600" w:type="dxa"/>
            <w:tcBorders/>
          </w:tcPr>
          <w:p>
            <w:pPr>
              <w:pStyle w:val="T4dispositie"/>
              <w:snapToGrid w:val="fals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90" w:type="dxa"/>
            <w:tcBorders/>
          </w:tcPr>
          <w:p>
            <w:pPr>
              <w:pStyle w:val="T4dispositie"/>
              <w:snapToGrid w:val="false"/>
              <w:rPr>
                <w:i/>
                <w:i/>
                <w:iCs/>
                <w:lang w:val="nl-NL"/>
              </w:rPr>
            </w:pPr>
            <w:r>
              <w:rPr>
                <w:i/>
                <w:iCs/>
                <w:lang w:val="nl-NL"/>
              </w:rPr>
              <w:t>Nevenwerk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Gemshoorn</w:t>
            </w:r>
          </w:p>
          <w:p>
            <w:pPr>
              <w:pStyle w:val="T4dispositie"/>
              <w:rPr>
                <w:lang w:val="nl-NL"/>
              </w:rPr>
            </w:pPr>
            <w:r>
              <w:rPr>
                <w:lang w:val="nl-NL"/>
              </w:rPr>
              <w:t>Fluit Harmonique</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c>
          <w:tcPr>
            <w:tcW w:w="1011" w:type="dxa"/>
            <w:tcBorders/>
          </w:tcPr>
          <w:p>
            <w:pPr>
              <w:pStyle w:val="T4dispositie"/>
              <w:snapToGrid w:val="fals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3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g   </w:t>
      </w:r>
      <w:r>
        <w:rPr>
          <w:sz w:val="20"/>
          <w:lang w:val="nl-NL"/>
        </w:rPr>
        <w:t>8 - 5 1/3 - 3 1/5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twee schokbalgen en handpomp (1891)</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orgel werd op 22 augustus 1891 gekeurd door H.J. de Vries (organist te Arum) en een dag later door hem ingespeeld. De aanneemsom bedroeg 4.120 gulden.</w:t>
      </w:r>
    </w:p>
    <w:p>
      <w:pPr>
        <w:pStyle w:val="T1"/>
        <w:jc w:val="start"/>
        <w:rPr>
          <w:lang w:val="nl-NL"/>
        </w:rPr>
      </w:pPr>
      <w:r>
        <w:rPr>
          <w:lang w:val="nl-NL"/>
        </w:rPr>
        <w:t xml:space="preserve">Afgezien van de kleurstelling van de orgelkas (oorspronkelijke hoofdkleur rijtuigzwart), de toegevoegde tremulant en de orgelmotor, verkeert het orgel geheel in oorspronkelijke staat. </w:t>
      </w:r>
    </w:p>
    <w:p>
      <w:pPr>
        <w:pStyle w:val="T1"/>
        <w:jc w:val="start"/>
        <w:rPr>
          <w:lang w:val="nl-NL"/>
        </w:rPr>
      </w:pPr>
      <w:r>
        <w:rPr>
          <w:lang w:val="nl-NL"/>
        </w:rPr>
        <w:t>De Prestant 8' (HW) staat van C-fis in het front opgesteld.</w:t>
      </w:r>
    </w:p>
    <w:p>
      <w:pPr>
        <w:pStyle w:val="T1"/>
        <w:jc w:val="start"/>
        <w:rPr/>
      </w:pPr>
      <w:r>
        <w:rPr>
          <w:lang w:val="nl-NL"/>
        </w:rPr>
        <w:t>De HW- en NW- windladen zijn achter elkaar geplaatst, gescheiden door een stemgang. Het pijpwerk staat in hele tonen opgesteld, vanuit het midden naar de zijkanten aflopend. C-d</w:t>
      </w:r>
      <w:r>
        <w:rPr>
          <w:vertAlign w:val="superscript"/>
          <w:lang w:val="nl-NL"/>
        </w:rPr>
        <w:t>1</w:t>
      </w:r>
      <w:r>
        <w:rPr>
          <w:lang w:val="nl-NL"/>
        </w:rPr>
        <w:t xml:space="preserve"> van de Bourdon 16' (HW) en de pedaaltransmissie daarvan worden gevoed vanuit een kleine windlade onder in de kas.</w:t>
      </w:r>
    </w:p>
    <w:p>
      <w:pPr>
        <w:pStyle w:val="T1"/>
        <w:jc w:val="start"/>
        <w:rPr>
          <w:lang w:val="nl-NL"/>
        </w:rPr>
      </w:pPr>
      <w:r>
        <w:rPr>
          <w:lang w:val="nl-NL"/>
        </w:rPr>
        <w:t>De registerknoppen van het HW zijn in een horizontale rij boven de lessenaar aangebracht; die van het NW in een verticale rij links naast de lessenaar. De knoppen voor de Subbas 16' (Ped) en de werktuiglijke registers zijn in verticale ordening rechts van de lessenaar aangebracht.</w:t>
      </w:r>
    </w:p>
    <w:p>
      <w:pPr>
        <w:pStyle w:val="T1"/>
        <w:jc w:val="start"/>
        <w:rPr/>
      </w:pPr>
      <w:r>
        <w:rPr>
          <w:lang w:val="nl-NL"/>
        </w:rPr>
        <w:t>Eiken pijpen bevinden zich in de Bourdon 16' (HW; C-h), de Holpijp 8' (HW; C-H) en de Roerfluit 8' (NW; C-Fis). De Cornet is op verhoogde bankjes geplaatst. De Prestant 8' (NW) is van C-E gecombineerd met de Roerfluit 8'. De Viola di Gamba 8' (NW) is van C-E gecombineerd met de Salicionaal 8'. De Quint 3' (HW) is een fluitregister; C-H gedekt en vanaf c open, conisch. Van de Cornet (HW) is het acht-voets koor uitgevoerd als roerfluit en zijn het 5 1/3' en het 3 1/5' koor open, conisch. De Fluit Harmonique 4' (NW) is open, cilindrisch en vanaf c</w:t>
      </w:r>
      <w:r>
        <w:rPr>
          <w:vertAlign w:val="superscript"/>
          <w:lang w:val="nl-NL"/>
        </w:rPr>
        <w:t>1</w:t>
      </w:r>
      <w:r>
        <w:rPr>
          <w:lang w:val="nl-NL"/>
        </w:rPr>
        <w:t xml:space="preserve"> overblazend. De Gemshoorn 4' (NW) is open, conisch en smal gelabieerd.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AbsatzStandardschriftart">
    <w:name w:val="Absatz-Standardschriftart"/>
    <w:qFormat/>
    <w:rPr/>
  </w:style>
  <w:style w:type="character" w:styleId="WWStandaardalinealettertype">
    <w:name w:val="WW-Standaardalinea-lettertype"/>
    <w:qFormat/>
    <w:rPr/>
  </w:style>
  <w:style w:type="character" w:styleId="Eindnoottekens">
    <w:name w:val="Eindnoottekens"/>
    <w:basedOn w:val="WWStandaardalinealettertype"/>
    <w:qFormat/>
    <w:rPr>
      <w:vertAlign w:val="superscript"/>
    </w:rPr>
  </w:style>
  <w:style w:type="character" w:styleId="Nummeringssymbolen">
    <w:name w:val="Nummeringssymbole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Inhopg5">
    <w:name w:val="inhopg 5"/>
    <w:basedOn w:val="Normal"/>
    <w:qFormat/>
    <w:pPr>
      <w:tabs>
        <w:tab w:val="clear" w:pos="708"/>
        <w:tab w:val="right" w:pos="9360" w:leader="dot"/>
      </w:tabs>
      <w:autoSpaceDE w:val="false"/>
      <w:spacing w:lineRule="atLeast" w:line="240"/>
      <w:ind w:start="360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2007-02-12T16:51:00Z</dcterms:created>
  <dc:creator>WS1</dc:creator>
  <dc:description/>
  <dc:language>en-US</dc:language>
  <cp:lastModifiedBy>WS1</cp:lastModifiedBy>
  <cp:lastPrinted>2113-01-01T00:00:00Z</cp:lastPrinted>
  <dcterms:modified xsi:type="dcterms:W3CDTF">2007-02-12T16:51:00Z</dcterms:modified>
  <cp:revision>2</cp:revision>
  <dc:subject/>
  <dc:title>Olst / 1880</dc:title>
</cp:coreProperties>
</file>