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Twisk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vijfzijdig gesloten koor en toren. Het schip dateert waarschijnlijk uit de 14e eeuw; de toren is gebouwd in de tweede helft van de 15e eeuw en het koor kwam begin 16e eeuw tot stand. Inwendig een houten tongewelf. Preekstoel met evangelisten en bijbelse voorstellingen uit 1731. Gebrandschilderde ramen uit 1696.</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vertoont grote overeenkomsten met dat van het in 1885 gebouwde Leichel-orgel in Oosterblokker (deel 1878-1886, 359-361). Alleen ontbreekt in Twisk het onderpositief. Ook hier een vijfdelige opbouw met drie ronde torens en vlakke ongedeelde tussenvelden met verhoogde frontstokken en horizontale bovenlijsten. Deze velden zijn naar verhouding lager en smaller dan in Oosterblokker.</w:t>
      </w:r>
    </w:p>
    <w:p>
      <w:pPr>
        <w:pStyle w:val="T2Kunst"/>
        <w:jc w:val="start"/>
        <w:rPr>
          <w:lang w:val="nl-NL"/>
        </w:rPr>
      </w:pPr>
      <w:r>
        <w:rPr>
          <w:lang w:val="nl-NL"/>
        </w:rPr>
        <w:t>Ook de decoratie is bij beide orgels nauw verwant. Zo zijn de zijstijlen van de torens omgevormd tot halfronde zuilen, die in hun benedendeel zijn voorzien van cannelures en in hun bovendeel van een spiraalvormige decoratie.</w:t>
      </w:r>
    </w:p>
    <w:p>
      <w:pPr>
        <w:pStyle w:val="T2Kunst"/>
        <w:jc w:val="start"/>
        <w:rPr>
          <w:lang w:val="nl-NL"/>
        </w:rPr>
      </w:pPr>
      <w:r>
        <w:rPr>
          <w:lang w:val="nl-NL"/>
        </w:rPr>
        <w:t>Blinderingen aan de pijpvoeten ontbreken. De bovenblinderingen zijn wat betreft de gebruikte vormelementen gelijk aan die in Oosterblokker, maar hebben een wat dramatischer werking. Bij de middentoren zijn beide gevallen twee gesplitste ranken te zien die met een krul bij een centraal ornament samen komen. In Twisk zijn deze ranken op rigoureuzere wijze gesplitst en zijn en de krullen forser van omvang. Het geheel oogt ook transparanter. Het centrale motief in Oosterblokker is een gestileerd plantachtig ornament, in Twisk is het een cartouche.</w:t>
      </w:r>
    </w:p>
    <w:p>
      <w:pPr>
        <w:pStyle w:val="T2Kunst"/>
        <w:jc w:val="start"/>
        <w:rPr>
          <w:lang w:val="nl-NL"/>
        </w:rPr>
      </w:pPr>
      <w:r>
        <w:rPr>
          <w:lang w:val="nl-NL"/>
        </w:rPr>
        <w:t>Bij de tussenvelden zien wij in Oosterblokker twee horizontaal geplaatste S-ranken waaruit aan de zijkanten een extra krul voortkomt, zodat ook twee verticale S-ranken ontstaan. In Twisk zien wij twee schuin geplaatste S-ranken, met een cartouche in het midden, eenvoudiger en transparanter dan in Oosterblokker. De lijstwerken van de velden en de torenkappen zijn bij beide orgels in hoofdzaak gelijk. Anders is dat met de bekronende opzetstukken. De grotere slankheid van het orgelfront is daarin ook terug te vinden; zijn het in Oosterblokker een soort palmetten geflankeerd door twee S-voluten, hier staan de palmetten bovenop de S-voluten, wat met name opvalt bij de zijtorens.</w:t>
      </w:r>
    </w:p>
    <w:p>
      <w:pPr>
        <w:pStyle w:val="T2Kunst"/>
        <w:jc w:val="start"/>
        <w:rPr>
          <w:lang w:val="nl-NL"/>
        </w:rPr>
      </w:pPr>
      <w:r>
        <w:rPr>
          <w:lang w:val="nl-NL"/>
        </w:rPr>
        <w:t>De panelen onder de verhoogde frontstokken van de velden zijn gedecoreerd met een gestileerde ster. De onderlijsten van de torens en velden bevatten een ruitvormige decoratie. Iets dergelijks vinden wij in Oosterblokker ook, maar dan alleen bij de torens.</w:t>
      </w:r>
    </w:p>
    <w:p>
      <w:pPr>
        <w:pStyle w:val="T2Kunst"/>
        <w:jc w:val="start"/>
        <w:rPr>
          <w:lang w:val="nl-NL"/>
        </w:rPr>
      </w:pPr>
      <w:r>
        <w:rPr>
          <w:lang w:val="nl-NL"/>
        </w:rPr>
        <w:t>De vleugelstukken zijn volkomen verschillend van die in Oosterblokker. Zij bestaan in Twisk elk uit een wat hoekig raamwerk, dat beneden in een inspringende boogvorm eindigt, waar een forse bladrank met bloem doorheen is gevlochten. Ook hier een sterkere neiging tot verticaliteit die zich in de hoofdopzet en in een groot deel van de decoratie duidelijk manifesteert.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Hans van Nieuwkoop, Willem Poot, </w:t>
      </w:r>
      <w:r>
        <w:rPr>
          <w:i/>
          <w:iCs/>
          <w:lang w:val="nl-NL"/>
        </w:rPr>
        <w:t>Orgels in Noord-Holland</w:t>
      </w:r>
      <w:r>
        <w:rPr>
          <w:lang w:val="nl-NL"/>
        </w:rPr>
        <w:t>. Schoorl, z.j. [1996], 139, 229.</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Archief Kerkvoogdij Hervormde Gemeente Twisk.</w:t>
      </w:r>
    </w:p>
    <w:p>
      <w:pPr>
        <w:pStyle w:val="T3Lit"/>
        <w:jc w:val="start"/>
        <w:rPr>
          <w:lang w:val="nl-NL"/>
        </w:rPr>
      </w:pPr>
      <w:r>
        <w:rPr>
          <w:lang w:val="nl-NL"/>
        </w:rPr>
        <w:t>Orgelarchief Teus den Toom.</w:t>
      </w:r>
    </w:p>
    <w:p>
      <w:pPr>
        <w:pStyle w:val="T3Lit"/>
        <w:rPr>
          <w:lang w:val="nl-NL"/>
        </w:rPr>
      </w:pPr>
      <w:r>
        <w:rPr>
          <w:lang w:val="nl-NL"/>
        </w:rPr>
      </w:r>
    </w:p>
    <w:p>
      <w:pPr>
        <w:pStyle w:val="T3Lit"/>
        <w:rPr>
          <w:lang w:val="nl-NL"/>
        </w:rPr>
      </w:pPr>
      <w:r>
        <w:rPr>
          <w:lang w:val="nl-NL"/>
        </w:rPr>
        <w:t>Monumentnummer 30714</w:t>
      </w:r>
    </w:p>
    <w:p>
      <w:pPr>
        <w:pStyle w:val="T3Lit"/>
        <w:rPr>
          <w:lang w:val="nl-NL"/>
        </w:rPr>
      </w:pPr>
      <w:r>
        <w:rPr>
          <w:lang w:val="nl-NL"/>
        </w:rPr>
        <w:t>Orgelnummer 1482</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rFonts w:ascii="Times New Roman" w:hAnsi="Times New Roman" w:cs="Times New Roman"/>
          <w:szCs w:val="24"/>
        </w:rPr>
      </w:pPr>
      <w:r>
        <w:rPr>
          <w:rFonts w:cs="Times New Roman" w:ascii="Times New Roman" w:hAnsi="Times New Roman"/>
          <w:szCs w:val="24"/>
        </w:rPr>
        <w:t>Bouwer</w:t>
      </w:r>
    </w:p>
    <w:p>
      <w:pPr>
        <w:pStyle w:val="Normal"/>
        <w:rPr>
          <w:rFonts w:ascii="Times New Roman" w:hAnsi="Times New Roman" w:cs="Times New Roman"/>
          <w:szCs w:val="24"/>
        </w:rPr>
      </w:pPr>
      <w:r>
        <w:rPr>
          <w:rFonts w:cs="Times New Roman" w:ascii="Times New Roman" w:hAnsi="Times New Roman"/>
          <w:szCs w:val="24"/>
        </w:rPr>
        <w:t>F. Leichel &amp; Zn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Jaar van oplevering</w:t>
      </w:r>
    </w:p>
    <w:p>
      <w:pPr>
        <w:pStyle w:val="Normal"/>
        <w:rPr>
          <w:rFonts w:ascii="Times New Roman" w:hAnsi="Times New Roman" w:cs="Times New Roman"/>
          <w:szCs w:val="24"/>
        </w:rPr>
      </w:pPr>
      <w:r>
        <w:rPr>
          <w:rFonts w:cs="Times New Roman" w:ascii="Times New Roman" w:hAnsi="Times New Roman"/>
          <w:szCs w:val="24"/>
        </w:rPr>
        <w:t>1891</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A.M.T. van Ingen &amp; Zoon 1910</w:t>
      </w:r>
    </w:p>
    <w:p>
      <w:pPr>
        <w:pStyle w:val="Normal"/>
        <w:rPr>
          <w:rFonts w:ascii="Times New Roman" w:hAnsi="Times New Roman" w:cs="Times New Roman"/>
          <w:szCs w:val="24"/>
        </w:rPr>
      </w:pPr>
      <w:r>
        <w:rPr>
          <w:rFonts w:cs="Times New Roman" w:ascii="Times New Roman" w:hAnsi="Times New Roman"/>
          <w:szCs w:val="24"/>
        </w:rPr>
        <w:t>.</w:t>
        <w:tab/>
        <w:t>restauratie</w:t>
      </w:r>
    </w:p>
    <w:p>
      <w:pPr>
        <w:pStyle w:val="Normal"/>
        <w:rPr>
          <w:rFonts w:ascii="Times New Roman" w:hAnsi="Times New Roman" w:cs="Times New Roman"/>
          <w:szCs w:val="24"/>
        </w:rPr>
      </w:pPr>
      <w:r>
        <w:rPr>
          <w:rFonts w:cs="Times New Roman" w:ascii="Times New Roman" w:hAnsi="Times New Roman"/>
          <w:szCs w:val="24"/>
        </w:rPr>
        <w:t>.</w:t>
        <w:tab/>
        <w:t>pneumatiek HW hersteld</w:t>
      </w:r>
    </w:p>
    <w:p>
      <w:pPr>
        <w:pStyle w:val="Normal"/>
        <w:rPr>
          <w:rFonts w:ascii="Times New Roman" w:hAnsi="Times New Roman" w:cs="Times New Roman"/>
          <w:szCs w:val="24"/>
        </w:rPr>
      </w:pPr>
      <w:r>
        <w:rPr>
          <w:rFonts w:cs="Times New Roman" w:ascii="Times New Roman" w:hAnsi="Times New Roman"/>
          <w:szCs w:val="24"/>
        </w:rPr>
        <w:t>.</w:t>
        <w:tab/>
        <w:t>pijpwerk schoongemaakt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Flentrop Orgelbouw 1980</w:t>
      </w:r>
    </w:p>
    <w:p>
      <w:pPr>
        <w:pStyle w:val="Normal"/>
        <w:rPr>
          <w:rFonts w:ascii="Times New Roman" w:hAnsi="Times New Roman" w:cs="Times New Roman"/>
          <w:szCs w:val="24"/>
        </w:rPr>
      </w:pPr>
      <w:r>
        <w:rPr>
          <w:rFonts w:cs="Times New Roman" w:ascii="Times New Roman" w:hAnsi="Times New Roman"/>
          <w:szCs w:val="24"/>
        </w:rPr>
        <w:t>.</w:t>
        <w:tab/>
        <w:t>restauratie</w:t>
      </w:r>
    </w:p>
    <w:p>
      <w:pPr>
        <w:pStyle w:val="Normal"/>
        <w:rPr>
          <w:rFonts w:ascii="Times New Roman" w:hAnsi="Times New Roman" w:cs="Times New Roman"/>
          <w:szCs w:val="24"/>
        </w:rPr>
      </w:pPr>
      <w:r>
        <w:rPr>
          <w:rFonts w:cs="Times New Roman" w:ascii="Times New Roman" w:hAnsi="Times New Roman"/>
          <w:szCs w:val="24"/>
        </w:rPr>
        <w:t>.</w:t>
        <w:tab/>
        <w:t>balgen en harmonicaverbindingen opnieuw beleerd</w:t>
      </w:r>
    </w:p>
    <w:p>
      <w:pPr>
        <w:pStyle w:val="Normal"/>
        <w:rPr>
          <w:rFonts w:ascii="Times New Roman" w:hAnsi="Times New Roman" w:cs="Times New Roman"/>
          <w:szCs w:val="24"/>
        </w:rPr>
      </w:pPr>
      <w:r>
        <w:rPr>
          <w:rFonts w:cs="Times New Roman" w:ascii="Times New Roman" w:hAnsi="Times New Roman"/>
          <w:szCs w:val="24"/>
        </w:rPr>
        <w:t>.</w:t>
        <w:tab/>
        <w:t>ventilator en geluiddempende kist vervangen; nieuwe regulering aangebracht</w:t>
      </w:r>
    </w:p>
    <w:p>
      <w:pPr>
        <w:pStyle w:val="Normal"/>
        <w:rPr>
          <w:rFonts w:ascii="Times New Roman" w:hAnsi="Times New Roman" w:cs="Times New Roman"/>
          <w:szCs w:val="24"/>
        </w:rPr>
      </w:pPr>
      <w:r>
        <w:rPr>
          <w:rFonts w:cs="Times New Roman" w:ascii="Times New Roman" w:hAnsi="Times New Roman"/>
          <w:szCs w:val="24"/>
        </w:rPr>
        <w:t>.</w:t>
        <w:tab/>
        <w:t>laden HW voorzien van dekplaat</w:t>
      </w:r>
    </w:p>
    <w:p>
      <w:pPr>
        <w:pStyle w:val="Normal"/>
        <w:rPr>
          <w:rFonts w:ascii="Times New Roman" w:hAnsi="Times New Roman" w:cs="Times New Roman"/>
          <w:szCs w:val="24"/>
        </w:rPr>
      </w:pPr>
      <w:r>
        <w:rPr>
          <w:rFonts w:cs="Times New Roman" w:ascii="Times New Roman" w:hAnsi="Times New Roman"/>
          <w:szCs w:val="24"/>
        </w:rPr>
        <w:t>.</w:t>
        <w:tab/>
        <w:t>nieuw pedaalklavier naar oud voorbeeld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Mense Ruiter Orgelmakers 2006</w:t>
      </w:r>
    </w:p>
    <w:p>
      <w:pPr>
        <w:pStyle w:val="Normal"/>
        <w:rPr>
          <w:rFonts w:ascii="Times New Roman" w:hAnsi="Times New Roman" w:cs="Times New Roman"/>
          <w:szCs w:val="24"/>
        </w:rPr>
      </w:pPr>
      <w:r>
        <w:rPr>
          <w:rFonts w:cs="Times New Roman" w:ascii="Times New Roman" w:hAnsi="Times New Roman"/>
          <w:szCs w:val="24"/>
        </w:rPr>
        <w:t>.</w:t>
        <w:tab/>
        <w:t>schoonmaak en herstel</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830" w:type="dxa"/>
        <w:jc w:val="start"/>
        <w:tblInd w:w="-70" w:type="dxa"/>
        <w:tblLayout w:type="fixed"/>
        <w:tblCellMar>
          <w:top w:w="0" w:type="dxa"/>
          <w:start w:w="70" w:type="dxa"/>
          <w:bottom w:w="0" w:type="dxa"/>
          <w:end w:w="70" w:type="dxa"/>
        </w:tblCellMar>
      </w:tblPr>
      <w:tblGrid>
        <w:gridCol w:w="1510"/>
        <w:gridCol w:w="720"/>
        <w:gridCol w:w="1620"/>
        <w:gridCol w:w="360"/>
        <w:gridCol w:w="1080"/>
        <w:gridCol w:w="540"/>
      </w:tblGrid>
      <w:tr>
        <w:trPr/>
        <w:tc>
          <w:tcPr>
            <w:tcW w:w="1510" w:type="dxa"/>
            <w:tcBorders/>
          </w:tcPr>
          <w:p>
            <w:pPr>
              <w:pStyle w:val="T4dispositie"/>
              <w:rPr>
                <w:i/>
                <w:i/>
                <w:iCs/>
                <w:lang w:val="nl-NL"/>
              </w:rPr>
            </w:pPr>
            <w:r>
              <w:rPr>
                <w:i/>
                <w:iCs/>
                <w:lang w:val="nl-NL"/>
              </w:rPr>
              <w:t>Manuaal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Holpyp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Nevenwerk (II)</w:t>
            </w:r>
          </w:p>
          <w:p>
            <w:pPr>
              <w:pStyle w:val="T4dispositie"/>
              <w:rPr>
                <w:iCs/>
                <w:lang w:val="nl-NL"/>
              </w:rPr>
            </w:pPr>
            <w:r>
              <w:rPr>
                <w:iCs/>
                <w:lang w:val="nl-NL"/>
              </w:rPr>
              <w:t>4 stemmen</w:t>
            </w:r>
          </w:p>
          <w:p>
            <w:pPr>
              <w:pStyle w:val="T4dispositie"/>
              <w:rPr>
                <w:iCs/>
                <w:lang w:val="nl-NL"/>
              </w:rPr>
            </w:pPr>
            <w:r>
              <w:rPr>
                <w:iCs/>
                <w:lang w:val="nl-NL"/>
              </w:rPr>
            </w:r>
          </w:p>
          <w:p>
            <w:pPr>
              <w:pStyle w:val="T4dispositie"/>
              <w:rPr>
                <w:iCs/>
                <w:lang w:val="nl-NL"/>
              </w:rPr>
            </w:pPr>
            <w:r>
              <w:rPr>
                <w:iCs/>
                <w:lang w:val="nl-NL"/>
              </w:rPr>
              <w:t>Lieflyk Gedekt</w:t>
            </w:r>
          </w:p>
          <w:p>
            <w:pPr>
              <w:pStyle w:val="T4dispositie"/>
              <w:rPr>
                <w:iCs/>
                <w:lang w:val="nl-NL"/>
              </w:rPr>
            </w:pPr>
            <w:r>
              <w:rPr>
                <w:iCs/>
                <w:lang w:val="nl-NL"/>
              </w:rPr>
              <w:t>Salicionnaal</w:t>
            </w:r>
          </w:p>
          <w:p>
            <w:pPr>
              <w:pStyle w:val="T4dispositie"/>
              <w:rPr>
                <w:iCs/>
                <w:lang w:val="nl-NL"/>
              </w:rPr>
            </w:pPr>
            <w:r>
              <w:rPr>
                <w:iCs/>
                <w:lang w:val="nl-NL"/>
              </w:rPr>
              <w:t>Fluit travers</w:t>
            </w:r>
          </w:p>
          <w:p>
            <w:pPr>
              <w:pStyle w:val="T4dispositie"/>
              <w:rPr>
                <w:i/>
                <w:i/>
                <w:lang w:val="nl-NL"/>
              </w:rPr>
            </w:pPr>
            <w:r>
              <w:rPr>
                <w:iCs/>
                <w:lang w:val="nl-NL"/>
              </w:rPr>
              <w:t>Roer-fluit</w:t>
            </w:r>
          </w:p>
        </w:tc>
        <w:tc>
          <w:tcPr>
            <w:tcW w:w="360" w:type="dxa"/>
            <w:tcBorders/>
          </w:tcPr>
          <w:p>
            <w:pPr>
              <w:pStyle w:val="T4dispositie"/>
              <w:snapToGrid w:val="false"/>
              <w:rPr>
                <w:i/>
                <w:i/>
                <w:lang w:val="nl-NL"/>
              </w:rPr>
            </w:pPr>
            <w:r>
              <w:rPr>
                <w:i/>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r>
              <w:rPr>
                <w:szCs w:val="24"/>
                <w:lang w:val="nl-NL"/>
              </w:rPr>
              <w:t>'</w:t>
            </w:r>
          </w:p>
          <w:p>
            <w:pPr>
              <w:pStyle w:val="T4dispositie"/>
              <w:rPr>
                <w:lang w:val="nl-NL"/>
              </w:rPr>
            </w:pPr>
            <w:r>
              <w:rPr>
                <w:lang w:val="nl-NL"/>
              </w:rPr>
              <w:t>8</w:t>
            </w:r>
            <w:r>
              <w:rPr>
                <w:szCs w:val="24"/>
                <w:lang w:val="nl-NL"/>
              </w:rPr>
              <w:t>'</w:t>
            </w:r>
          </w:p>
          <w:p>
            <w:pPr>
              <w:pStyle w:val="T4dispositie"/>
              <w:rPr>
                <w:lang w:val="nl-NL"/>
              </w:rPr>
            </w:pPr>
            <w:r>
              <w:rPr>
                <w:lang w:val="nl-NL"/>
              </w:rPr>
              <w:t>8</w:t>
            </w:r>
            <w:r>
              <w:rPr>
                <w:szCs w:val="24"/>
                <w:lang w:val="nl-NL"/>
              </w:rPr>
              <w:t>'</w:t>
            </w:r>
          </w:p>
          <w:p>
            <w:pPr>
              <w:pStyle w:val="T4dispositie"/>
              <w:rPr>
                <w:lang w:val="nl-NL"/>
              </w:rPr>
            </w:pPr>
            <w:r>
              <w:rPr>
                <w:lang w:val="nl-NL"/>
              </w:rPr>
              <w:t>4</w:t>
            </w:r>
            <w:r>
              <w:rPr>
                <w:szCs w:val="24"/>
                <w:lang w:val="nl-NL"/>
              </w:rPr>
              <w:t>'</w:t>
            </w:r>
          </w:p>
        </w:tc>
        <w:tc>
          <w:tcPr>
            <w:tcW w:w="108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Subbass</w:t>
            </w:r>
          </w:p>
          <w:p>
            <w:pPr>
              <w:pStyle w:val="T4dispositie"/>
              <w:rPr>
                <w:lang w:val="nl-NL"/>
              </w:rPr>
            </w:pPr>
            <w:r>
              <w:rPr>
                <w:lang w:val="nl-NL"/>
              </w:rPr>
              <w:t>Octaav bass</w:t>
            </w:r>
          </w:p>
          <w:p>
            <w:pPr>
              <w:pStyle w:val="T4dispositie"/>
              <w:rPr>
                <w:lang w:val="nl-NL"/>
              </w:rPr>
            </w:pPr>
            <w:r>
              <w:rPr>
                <w:lang w:val="nl-NL"/>
              </w:rPr>
              <w:t>Gedekt bass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szCs w:val="24"/>
                <w:lang w:val="nl-NL"/>
              </w:rPr>
              <w:t>'</w:t>
            </w:r>
          </w:p>
          <w:p>
            <w:pPr>
              <w:pStyle w:val="T4dispositie"/>
              <w:rPr>
                <w:lang w:val="nl-NL"/>
              </w:rPr>
            </w:pPr>
            <w:r>
              <w:rPr>
                <w:lang w:val="nl-NL"/>
              </w:rPr>
              <w:t>8</w:t>
            </w:r>
            <w:r>
              <w:rPr>
                <w:szCs w:val="24"/>
                <w:lang w:val="nl-NL"/>
              </w:rPr>
              <w:t>'</w:t>
            </w:r>
          </w:p>
          <w:p>
            <w:pPr>
              <w:pStyle w:val="T4dispositie"/>
              <w:rPr>
                <w:lang w:val="nl-NL"/>
              </w:rPr>
            </w:pPr>
            <w:r>
              <w:rPr>
                <w:lang w:val="nl-NL"/>
              </w:rPr>
              <w:t>8</w:t>
            </w:r>
            <w:r>
              <w:rPr>
                <w:szCs w:val="24"/>
                <w:lang w:val="nl-NL"/>
              </w:rPr>
              <w: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 coppel, pedaal coppel</w:t>
      </w:r>
    </w:p>
    <w:p>
      <w:pPr>
        <w:pStyle w:val="Normal"/>
        <w:rPr>
          <w:rFonts w:ascii="Times New Roman" w:hAnsi="Times New Roman" w:cs="Times New Roman"/>
          <w:szCs w:val="24"/>
        </w:rPr>
      </w:pPr>
      <w:r>
        <w:rPr>
          <w:rFonts w:cs="Times New Roman" w:ascii="Times New Roman" w:hAnsi="Times New Roman"/>
          <w:szCs w:val="24"/>
        </w:rPr>
        <w:t>ventil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519" w:type="dxa"/>
        <w:jc w:val="start"/>
        <w:tblInd w:w="-70" w:type="dxa"/>
        <w:tblLayout w:type="fixed"/>
        <w:tblCellMar>
          <w:top w:w="0" w:type="dxa"/>
          <w:start w:w="70" w:type="dxa"/>
          <w:bottom w:w="0" w:type="dxa"/>
          <w:end w:w="70" w:type="dxa"/>
        </w:tblCellMar>
      </w:tblPr>
      <w:tblGrid>
        <w:gridCol w:w="1047"/>
        <w:gridCol w:w="736"/>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twee magazijnbalgen (1891)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78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T1"/>
        <w:jc w:val="start"/>
        <w:rPr>
          <w:rFonts w:ascii="Times New Roman" w:hAnsi="Times New Roman" w:cs="Times New Roman"/>
          <w:szCs w:val="24"/>
          <w:lang w:val="nl-NL"/>
        </w:rPr>
      </w:pPr>
      <w:r>
        <w:rPr>
          <w:rFonts w:cs="Times New Roman"/>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A.M.T. van Ingen, die het orgel geruime tijd in onderhoud had, was allerminst gelukkig met de door Leichel toegepaste mechaniek. Op de onderzijde van een van de stokken van het BW treffen we de volgende ontboezeming aan: </w:t>
      </w:r>
      <w:r>
        <w:rPr>
          <w:i/>
          <w:iCs/>
          <w:lang w:val="nl-NL"/>
        </w:rPr>
        <w:t xml:space="preserve">Het onzinnige en omslagtige mechaniek dat loodzwaar van aanslag was is </w:t>
      </w:r>
      <w:r>
        <w:rPr>
          <w:lang w:val="nl-NL"/>
        </w:rPr>
        <w:t xml:space="preserve">[in 1910] </w:t>
      </w:r>
      <w:r>
        <w:rPr>
          <w:i/>
          <w:iCs/>
          <w:lang w:val="nl-NL"/>
        </w:rPr>
        <w:t>zoodanig herzien dat het ten minste bruikbaar is. Wij vragen ons af: Hoe komt een orgelbouwer er toe om z´oon onzinnig en omslagtig mechaniek te maken. Zie de pedaallade, het toppunt van stommigheid</w:t>
      </w:r>
      <w:r>
        <w:rPr>
          <w:lang w:val="nl-NL"/>
        </w:rPr>
        <w:t>.</w:t>
      </w:r>
    </w:p>
    <w:p>
      <w:pPr>
        <w:pStyle w:val="T1"/>
        <w:jc w:val="start"/>
        <w:rPr>
          <w:lang w:val="nl-NL"/>
        </w:rPr>
      </w:pPr>
      <w:r>
        <w:rPr>
          <w:lang w:val="nl-NL"/>
        </w:rPr>
        <w:t>De beide magazijnbalgen bevinden zich in de onderkas en hebben beide een in- en uitspringende vouw. Ze zijn door middel van harmonicakokers aan elkaar gekoppeld. De balanstrapinstallatie bevindt zich aan de achterzijde van de hoofdkas.</w:t>
      </w:r>
    </w:p>
    <w:p>
      <w:pPr>
        <w:pStyle w:val="T1"/>
        <w:jc w:val="start"/>
        <w:rPr>
          <w:lang w:val="nl-NL"/>
        </w:rPr>
      </w:pPr>
      <w:r>
        <w:rPr>
          <w:lang w:val="nl-NL"/>
        </w:rPr>
        <w:t>De klaviatuur kan met deurtjes worden afgesloten. Het pedaalklavier is hol, zoals dat ook wel door bijvoorbeeld Philip Furtwängler werd toegepast. De toetstractuur is mechanisch. De registerknoppen van het HW worden op pneumatische wijze bediend. De registerknoppen zijn in twee rijen in terrassen aan weerszijden van de handklavieren geplaatst. In de bovenste rij links bevinden zich de knoppen van de pedaalregisters, in de bovenste rij rechts die van het NW. In de onderste rij, aan weerszijden, bevinden zich de knoppen van het HW. De registeropschriften zijn op plaatjes aangebracht die schuin op de knoppen zijn bevestigd, zoals bij sommige harmoniums ook wel het geval is.</w:t>
      </w:r>
    </w:p>
    <w:p>
      <w:pPr>
        <w:pStyle w:val="T1"/>
        <w:jc w:val="start"/>
        <w:rPr>
          <w:lang w:val="nl-NL"/>
        </w:rPr>
      </w:pPr>
      <w:r>
        <w:rPr>
          <w:lang w:val="nl-NL"/>
        </w:rPr>
        <w:t>De windlade van het HW (een sleeplade) ligt achter het front. Daarachter ligt de lade van het NW, een mechanische kegellade. Tussen beide laden bevindt zich een stemgang. Het Ped staat opgesteld in een aparte kas achter de hoofdkas. De lade van het Ped is samengesteld uit drie afzonderlijke ventielkasten, welke elk door middel van een ventiel, dat verbonden is met de registertrekkers, met wind kunnen worden gevuld.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2007-02-12T16:57:00Z</dcterms:created>
  <dc:creator>WS1</dc:creator>
  <dc:description/>
  <dc:language>en-US</dc:language>
  <cp:lastModifiedBy>WS1</cp:lastModifiedBy>
  <dcterms:modified xsi:type="dcterms:W3CDTF">2007-02-12T16:57:00Z</dcterms:modified>
  <cp:revision>2</cp:revision>
  <dc:subject/>
  <dc:title>Olst / 1880</dc:title>
</cp:coreProperties>
</file>