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Wons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Achtzijdige centraalbouw, gebouwde in 1728 ter vervanging van een kerk uit de 12e eeuw.Inwendig een achtdelig houten koepelgewelf. Preekstoel uit 1686.</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orgelfront met drie ronde torens en gebogen gedeelde tussenvelden is wat moeilijk te plaatsen. Het is verwant aan het Adema-achtige standaardfront dat Bakker &amp; Timmenga in deze jaren veelvuldig toepasten, maar het lijkt meer op een aantal eenklaviers-orgels van Hardorff, met name de instrumenten in Huins (ca 1875, deel 1872-1878, 239-240) en Itens (1876, deel 1872-1878, 281-283). Deze Hardorff-fronten waren waarschijnlijk ook weer op hun beurt schatplichtig aan het Adema-standaardfront.</w:t>
      </w:r>
    </w:p>
    <w:p>
      <w:pPr>
        <w:pStyle w:val="T2Kunst"/>
        <w:jc w:val="start"/>
        <w:rPr>
          <w:lang w:val="nl-NL"/>
        </w:rPr>
      </w:pPr>
      <w:r>
        <w:rPr>
          <w:lang w:val="nl-NL"/>
        </w:rPr>
        <w:t>De bovenvelden in Wons zijn niet zo gekortwiekt als bij de oudere Bakker &amp; Timmenga-orgels. Verder is de boogvorm van de benedenvelden hier komen te vervallen. De etages van de velden worden nu gescheiden door een sierlijk uit S-voluten opgebouwd stuk snijwerk, enigszins verwant aan wat de eerder genoemde Hardorff-orgels in Huins en Itens te zien geven. Dit frontmodel zal bij de firma Bakker &amp; Timmenga geen repertoire houden. Een tijd lang gaat zij nog door met het Adema-achtige model met de rondbogige benedenvelden, maar vanaf het orgel in Wouterswoude (1894) zullen de benedenvelden de vorm krijgen van een halve rondboog. De velden worden dan meestal weer vlak uitgevoerd.</w:t>
      </w:r>
    </w:p>
    <w:p>
      <w:pPr>
        <w:pStyle w:val="T2Kunst"/>
        <w:jc w:val="start"/>
        <w:rPr>
          <w:lang w:val="nl-NL"/>
        </w:rPr>
      </w:pPr>
      <w:r>
        <w:rPr>
          <w:lang w:val="nl-NL"/>
        </w:rPr>
        <w:t>In Wons zijn de benedenblinderingen, zoals gebruikelijk bij Bakker &amp; Timmenga, bescheiden van omvang: zij bestaan uit S-ranken. De bovenblinderingen in de middentoren bestaan uit twee figuren die zijn opgebouwd uit een C-voluut in de hoek, waaruit een S-voluut naar het midden loopt; beide figuren ontmoeten elkaar in het midden bij een geabstraheerd vegetatief ornament. De bovenblinderingen in de zijtorens bieden variaties op dit thema. Boven de bovenlijsten van de tussenvelden, de vaak door Bakker &amp; Timmenga toegepaste frivole ornamentjes bij de middentoren en de zijtorens. De opzetstukken op de zijtoren bestaan uit gekoppelde C-voluten; op de middentoren de van Bakker &amp; Timmenga bekende lier met zwanenhalzen en flankerende voluten. De vleugelstukken bestaan weer uit een S-rank waarin een C-voluut is opgenomen.</w:t>
      </w:r>
    </w:p>
    <w:p>
      <w:pPr>
        <w:pStyle w:val="T2Kunst"/>
        <w:jc w:val="start"/>
        <w:rPr>
          <w:lang w:val="nl-NL"/>
        </w:rPr>
      </w:pPr>
      <w:r>
        <w:rPr>
          <w:lang w:val="nl-NL"/>
        </w:rPr>
        <w:t>Ofschoon nergens in dit orgelfront expliciet rococovormen zijn te vinden, weet het toch door de luchtigheid van de decoratieve elementen iets van de sfeer van die stijl uit te stralen.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Informatie Nederlandse Orgels</w:t>
      </w:r>
      <w:r>
        <w:rPr>
          <w:lang w:val="nl-NL"/>
        </w:rPr>
        <w:t xml:space="preserve"> (maart, 1969)</w:t>
      </w:r>
    </w:p>
    <w:p>
      <w:pPr>
        <w:pStyle w:val="T3Lit"/>
        <w:jc w:val="start"/>
        <w:rPr/>
      </w:pPr>
      <w:r>
        <w:rPr>
          <w:lang w:val="nl-NL"/>
        </w:rPr>
        <w:t xml:space="preserve">Jan Jongepier, </w:t>
      </w:r>
      <w:r>
        <w:rPr>
          <w:i/>
          <w:lang w:val="nl-NL"/>
        </w:rPr>
        <w:t>Vijf eeuwen Friese orgelbouw</w:t>
      </w:r>
      <w:r>
        <w:rPr>
          <w:lang w:val="nl-NL"/>
        </w:rPr>
        <w:t>. Leeuwarden, 2004, 130-131, 214.</w:t>
      </w:r>
    </w:p>
    <w:p>
      <w:pPr>
        <w:pStyle w:val="T3Lit"/>
        <w:jc w:val="start"/>
        <w:rPr/>
      </w:pPr>
      <w:r>
        <w:rPr>
          <w:lang w:val="nl-NL"/>
        </w:rPr>
        <w:t xml:space="preserve">Maarten Seijbel, </w:t>
      </w:r>
      <w:r>
        <w:rPr>
          <w:i/>
          <w:iCs/>
          <w:lang w:val="nl-NL"/>
        </w:rPr>
        <w:t>Orgels in Friesland 1</w:t>
      </w:r>
      <w:r>
        <w:rPr>
          <w:lang w:val="nl-NL"/>
        </w:rPr>
        <w:t>. Baarn, 1970, 157.</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rFonts w:eastAsia="Univers;Arial"/>
          <w:lang w:val="nl-NL"/>
        </w:rPr>
      </w:pPr>
      <w:r>
        <w:rPr>
          <w:rFonts w:eastAsia="Univers;Arial"/>
          <w:lang w:val="nl-NL"/>
        </w:rPr>
        <w:t xml:space="preserve"> </w:t>
      </w:r>
    </w:p>
    <w:p>
      <w:pPr>
        <w:pStyle w:val="T3Lit"/>
        <w:jc w:val="start"/>
        <w:rPr>
          <w:lang w:val="nl-NL"/>
        </w:rPr>
      </w:pPr>
      <w:r>
        <w:rPr>
          <w:lang w:val="nl-NL"/>
        </w:rPr>
        <w:t>Monumentnummer 39439</w:t>
      </w:r>
    </w:p>
    <w:p>
      <w:pPr>
        <w:pStyle w:val="T3Lit"/>
        <w:jc w:val="start"/>
        <w:rPr>
          <w:lang w:val="nl-NL"/>
        </w:rPr>
      </w:pPr>
      <w:r>
        <w:rPr>
          <w:lang w:val="nl-NL"/>
        </w:rPr>
        <w:t>Orgelnummer 1706</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pPr>
      <w:r>
        <w:rPr/>
        <w:t>Dispositie 1891</w:t>
      </w:r>
    </w:p>
    <w:tbl>
      <w:tblPr>
        <w:tblW w:w="4400" w:type="dxa"/>
        <w:jc w:val="start"/>
        <w:tblInd w:w="-70" w:type="dxa"/>
        <w:tblLayout w:type="fixed"/>
        <w:tblCellMar>
          <w:top w:w="0" w:type="dxa"/>
          <w:start w:w="70" w:type="dxa"/>
          <w:bottom w:w="0" w:type="dxa"/>
          <w:end w:w="70" w:type="dxa"/>
        </w:tblCellMar>
      </w:tblPr>
      <w:tblGrid>
        <w:gridCol w:w="1600"/>
        <w:gridCol w:w="631"/>
        <w:gridCol w:w="1794"/>
        <w:gridCol w:w="375"/>
      </w:tblGrid>
      <w:tr>
        <w:trPr/>
        <w:tc>
          <w:tcPr>
            <w:tcW w:w="1600"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Melophone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en-GB"/>
              </w:rPr>
              <w:t>Octaaf</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tc>
        <w:tc>
          <w:tcPr>
            <w:tcW w:w="1794" w:type="dxa"/>
            <w:tcBorders/>
          </w:tcPr>
          <w:p>
            <w:pPr>
              <w:pStyle w:val="T4dispositie"/>
              <w:jc w:val="start"/>
              <w:rPr>
                <w:i/>
                <w:i/>
                <w:iCs/>
                <w:lang w:val="nl-NL"/>
              </w:rPr>
            </w:pPr>
            <w:r>
              <w:rPr>
                <w:i/>
                <w:iCs/>
                <w:lang w:val="nl-NL"/>
              </w:rPr>
              <w:t>Nevenwerk</w:t>
            </w:r>
          </w:p>
          <w:p>
            <w:pPr>
              <w:pStyle w:val="T4dispositie"/>
              <w:jc w:val="start"/>
              <w:rPr>
                <w:lang w:val="nl-NL"/>
              </w:rPr>
            </w:pPr>
            <w:r>
              <w:rPr>
                <w:lang w:val="nl-NL"/>
              </w:rPr>
              <w:t>Roerfluit</w:t>
            </w:r>
          </w:p>
          <w:p>
            <w:pPr>
              <w:pStyle w:val="T4dispositie"/>
              <w:jc w:val="start"/>
              <w:rPr>
                <w:lang w:val="nl-NL"/>
              </w:rPr>
            </w:pPr>
            <w:r>
              <w:rPr>
                <w:lang w:val="nl-NL"/>
              </w:rPr>
              <w:t>Viola di Gamba</w:t>
            </w:r>
          </w:p>
          <w:p>
            <w:pPr>
              <w:pStyle w:val="T4dispositie"/>
              <w:jc w:val="start"/>
              <w:rPr>
                <w:lang w:val="nl-NL"/>
              </w:rPr>
            </w:pPr>
            <w:r>
              <w:rPr>
                <w:lang w:val="nl-NL"/>
              </w:rPr>
              <w:t>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4dispositie"/>
        <w:rPr/>
      </w:pPr>
      <w:r>
        <w:rPr/>
      </w:r>
    </w:p>
    <w:p>
      <w:pPr>
        <w:pStyle w:val="T4dispositie"/>
        <w:rPr/>
      </w:pPr>
      <w:r>
        <w:rPr/>
        <w:t>* geen pijpwerk aanwezig</w:t>
      </w:r>
    </w:p>
    <w:p>
      <w:pPr>
        <w:pStyle w:val="T4dispositie"/>
        <w:rPr/>
      </w:pPr>
      <w:r>
        <w:rPr/>
      </w:r>
    </w:p>
    <w:p>
      <w:pPr>
        <w:pStyle w:val="T1"/>
        <w:jc w:val="start"/>
        <w:rPr>
          <w:lang w:val="nl-NL"/>
        </w:rPr>
      </w:pPr>
      <w:r>
        <w:rPr>
          <w:lang w:val="nl-NL"/>
        </w:rPr>
        <w:t>Bakker &amp; Timmenga 1911</w:t>
      </w:r>
    </w:p>
    <w:p>
      <w:pPr>
        <w:pStyle w:val="T1"/>
        <w:numPr>
          <w:ilvl w:val="0"/>
          <w:numId w:val="2"/>
        </w:numPr>
        <w:jc w:val="start"/>
        <w:rPr>
          <w:lang w:val="nl-NL"/>
        </w:rPr>
      </w:pPr>
      <w:r>
        <w:rPr>
          <w:lang w:val="nl-NL"/>
        </w:rPr>
        <w:t>orgel gedemonteerd wegens werkzaamheden aan kerkgebouw, opgeslagen en herplaatst</w:t>
      </w:r>
    </w:p>
    <w:p>
      <w:pPr>
        <w:pStyle w:val="T1"/>
        <w:jc w:val="start"/>
        <w:rPr>
          <w:lang w:val="nl-NL"/>
        </w:rPr>
      </w:pPr>
      <w:r>
        <w:rPr>
          <w:lang w:val="nl-NL"/>
        </w:rPr>
      </w:r>
    </w:p>
    <w:p>
      <w:pPr>
        <w:pStyle w:val="T1"/>
        <w:jc w:val="start"/>
        <w:rPr>
          <w:lang w:val="nl-NL"/>
        </w:rPr>
      </w:pPr>
      <w:r>
        <w:rPr>
          <w:lang w:val="nl-NL"/>
        </w:rPr>
        <w:t>J. v.d. Bliek 1962</w:t>
      </w:r>
    </w:p>
    <w:p>
      <w:pPr>
        <w:pStyle w:val="T1"/>
        <w:jc w:val="start"/>
        <w:rPr>
          <w:lang w:val="nl-NL"/>
        </w:rPr>
      </w:pPr>
      <w:r>
        <w:rPr>
          <w:lang w:val="nl-NL"/>
        </w:rPr>
        <w:t>.</w:t>
        <w:tab/>
        <w:t>orgel gerestaureerd in kader kerkrestauratie</w:t>
      </w:r>
    </w:p>
    <w:p>
      <w:pPr>
        <w:pStyle w:val="T1"/>
        <w:jc w:val="start"/>
        <w:rPr>
          <w:lang w:val="nl-NL"/>
        </w:rPr>
      </w:pPr>
      <w:r>
        <w:rPr>
          <w:lang w:val="nl-NL"/>
        </w:rPr>
        <w:t>.</w:t>
        <w:tab/>
        <w:t>kas opnieuw geschilderd</w:t>
      </w:r>
    </w:p>
    <w:p>
      <w:pPr>
        <w:pStyle w:val="T1"/>
        <w:numPr>
          <w:ilvl w:val="0"/>
          <w:numId w:val="2"/>
        </w:numPr>
        <w:jc w:val="start"/>
        <w:rPr>
          <w:lang w:val="nl-NL"/>
        </w:rPr>
      </w:pPr>
      <w:r>
        <w:rPr>
          <w:lang w:val="nl-NL"/>
        </w:rPr>
        <w:t>HW + Quint 2 2/3' (boringen C-h toegevoegd bij de gereserveerde plaats); Melophone 8' $ Terts 1 3/5'</w:t>
      </w:r>
    </w:p>
    <w:p>
      <w:pPr>
        <w:pStyle w:val="T1"/>
        <w:jc w:val="start"/>
        <w:rPr>
          <w:lang w:val="nl-NL"/>
        </w:rPr>
      </w:pPr>
      <w:r>
        <w:rPr>
          <w:lang w:val="nl-NL"/>
        </w:rPr>
      </w:r>
    </w:p>
    <w:p>
      <w:pPr>
        <w:pStyle w:val="T1"/>
        <w:jc w:val="start"/>
        <w:rPr>
          <w:lang w:val="nl-NL"/>
        </w:rPr>
      </w:pPr>
      <w:r>
        <w:rPr>
          <w:lang w:val="nl-NL"/>
        </w:rPr>
        <w:t>Orgelmakerij Bakker &amp; Timmenga 1979</w:t>
      </w:r>
    </w:p>
    <w:p>
      <w:pPr>
        <w:pStyle w:val="T1"/>
        <w:jc w:val="start"/>
        <w:rPr>
          <w:lang w:val="nl-NL"/>
        </w:rPr>
      </w:pPr>
      <w:r>
        <w:rPr>
          <w:lang w:val="nl-NL"/>
        </w:rPr>
        <w:t>.</w:t>
        <w:tab/>
        <w:t>restauratie</w:t>
      </w:r>
    </w:p>
    <w:p>
      <w:pPr>
        <w:pStyle w:val="T1"/>
        <w:jc w:val="start"/>
        <w:rPr>
          <w:lang w:val="nl-NL"/>
        </w:rPr>
      </w:pPr>
      <w:r>
        <w:rPr>
          <w:lang w:val="nl-NL"/>
        </w:rPr>
        <w:t>.</w:t>
        <w:tab/>
        <w:t>windladen van dekplaten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 (zonder eigen registers)</w:t>
      </w:r>
    </w:p>
    <w:p>
      <w:pPr>
        <w:pStyle w:val="T1"/>
        <w:jc w:val="start"/>
        <w:rPr>
          <w:lang w:val="nl-NL"/>
        </w:rPr>
      </w:pPr>
      <w:r>
        <w:rPr>
          <w:lang w:val="nl-NL"/>
        </w:rPr>
      </w:r>
    </w:p>
    <w:p>
      <w:pPr>
        <w:pStyle w:val="T1"/>
        <w:jc w:val="start"/>
        <w:rPr/>
      </w:pPr>
      <w:r>
        <w:rPr/>
        <w:t>Dispositie</w:t>
      </w:r>
    </w:p>
    <w:tbl>
      <w:tblPr>
        <w:tblW w:w="4400" w:type="dxa"/>
        <w:jc w:val="start"/>
        <w:tblInd w:w="-70" w:type="dxa"/>
        <w:tblLayout w:type="fixed"/>
        <w:tblCellMar>
          <w:top w:w="0" w:type="dxa"/>
          <w:start w:w="70" w:type="dxa"/>
          <w:bottom w:w="0" w:type="dxa"/>
          <w:end w:w="70" w:type="dxa"/>
        </w:tblCellMar>
      </w:tblPr>
      <w:tblGrid>
        <w:gridCol w:w="1600"/>
        <w:gridCol w:w="631"/>
        <w:gridCol w:w="1794"/>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en-GB"/>
              </w:rPr>
            </w:pPr>
            <w:r>
              <w:rPr>
                <w:lang w:val="en-GB"/>
              </w:rPr>
              <w:t>Quint</w:t>
            </w:r>
          </w:p>
          <w:p>
            <w:pPr>
              <w:pStyle w:val="T4dispositie"/>
              <w:jc w:val="start"/>
              <w:rPr>
                <w:lang w:val="en-GB"/>
              </w:rPr>
            </w:pPr>
            <w:r>
              <w:rPr>
                <w:lang w:val="en-GB"/>
              </w:rPr>
              <w:t>Octaaf</w:t>
            </w:r>
          </w:p>
          <w:p>
            <w:pPr>
              <w:pStyle w:val="T4dispositie"/>
              <w:jc w:val="start"/>
              <w:rPr>
                <w:lang w:val="nl-NL"/>
              </w:rPr>
            </w:pPr>
            <w:r>
              <w:rPr>
                <w:lang w:val="nl-NL"/>
              </w:rPr>
              <w:t>Terts</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 2/3'</w:t>
            </w:r>
          </w:p>
          <w:p>
            <w:pPr>
              <w:pStyle w:val="T4dispositie"/>
              <w:jc w:val="start"/>
              <w:rPr>
                <w:lang w:val="en-GB"/>
              </w:rPr>
            </w:pPr>
            <w:r>
              <w:rPr>
                <w:lang w:val="en-GB"/>
              </w:rPr>
              <w:t>2'</w:t>
            </w:r>
          </w:p>
          <w:p>
            <w:pPr>
              <w:pStyle w:val="T4dispositie"/>
              <w:jc w:val="start"/>
              <w:rPr>
                <w:lang w:val="en-GB"/>
              </w:rPr>
            </w:pPr>
            <w:r>
              <w:rPr>
                <w:lang w:val="en-GB"/>
              </w:rPr>
              <w:t>1 3/5'</w:t>
            </w:r>
          </w:p>
        </w:tc>
        <w:tc>
          <w:tcPr>
            <w:tcW w:w="1794"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Viola di Gamba</w:t>
            </w:r>
          </w:p>
          <w:p>
            <w:pPr>
              <w:pStyle w:val="T4dispositie"/>
              <w:jc w:val="start"/>
              <w:rPr>
                <w:lang w:val="nl-NL"/>
              </w:rPr>
            </w:pPr>
            <w:r>
              <w:rPr>
                <w:lang w:val="nl-NL"/>
              </w:rPr>
              <w:t>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(1891)</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hebben een hoog tingehalte. In het front spreken C-f</w:t>
      </w:r>
      <w:r>
        <w:rPr>
          <w:vertAlign w:val="superscript"/>
          <w:lang w:val="nl-NL"/>
        </w:rPr>
        <w:t>1</w:t>
      </w:r>
      <w:r>
        <w:rPr>
          <w:lang w:val="nl-NL"/>
        </w:rPr>
        <w:t xml:space="preserve"> van de Prestant 8' in de drie torens en in de onderste tussenvelden, waarvan aan de rechterzijde de grootste vijf pijpen en aan de linkerzijde de grootste vier pijpen sprekend zijn.</w:t>
      </w:r>
    </w:p>
    <w:p>
      <w:pPr>
        <w:pStyle w:val="T1"/>
        <w:jc w:val="start"/>
        <w:rPr>
          <w:lang w:val="nl-NL"/>
        </w:rPr>
      </w:pPr>
      <w:r>
        <w:rPr>
          <w:lang w:val="nl-NL"/>
        </w:rPr>
        <w:t>Van de klaviatuur zijn alle onderdelen authentiek, behalve de twee naamplaatjes van de in 1962 aangebrachte registers, die in afwijkende vorm uitgevoerd zijn. De handklavieren hebben ivoorbeleg op de ondertoetsen met genagelde voorplaatjes. Het pedaalklavier heeft korte boventoetsen van gelijke lengte. De registerknoppen van de sprekende registers en het ventiel zijn in een horizontale rij boven de lessenaar geplaatst. Links van de klavieren is de klavierkoppel, rechts zijn de knoppen voor de pedaalkoppel en de tremulant aangebracht.</w:t>
      </w:r>
    </w:p>
    <w:p>
      <w:pPr>
        <w:pStyle w:val="T1"/>
        <w:jc w:val="start"/>
        <w:rPr>
          <w:lang w:val="nl-NL"/>
        </w:rPr>
      </w:pPr>
      <w:r>
        <w:rPr>
          <w:lang w:val="nl-NL"/>
        </w:rPr>
        <w:t>De windvoorziening is onder in de kas geplaatst, de handpomp is in de rechterzijwand aangebracht. Het windzicht is in 1962 afgezaagd, omdat de toen geplaatste motorkist voor de sleuf van het windzicht kwam te staan. De windkanalen zijn van eiken, de inliggende tremulant is aangebracht in het horizontale kanaaldeel naar de ventielkast va het NW, dat tussen de zijwand van de kas en de zijkant van de windladen in ligt. Tussen balg en laden zijn twee walsramen boven elkaar geplaatst.</w:t>
      </w:r>
    </w:p>
    <w:p>
      <w:pPr>
        <w:pStyle w:val="T1"/>
        <w:jc w:val="start"/>
        <w:rPr>
          <w:lang w:val="nl-NL"/>
        </w:rPr>
      </w:pPr>
      <w:r>
        <w:rPr>
          <w:lang w:val="nl-NL"/>
        </w:rPr>
        <w:t>De beide windladen liggen achter elkaar op gelijk niveau tegen elkaar aan. De lade van het HW vooraan met de ventielkast aan frontzijde, de lade van het NW achteraan met de ventielkast aan de achterzijde. Beide ventielkasten worden met drie opliggende voorslagen gesloten.</w:t>
      </w:r>
    </w:p>
    <w:p>
      <w:pPr>
        <w:pStyle w:val="T1"/>
        <w:jc w:val="start"/>
        <w:rPr/>
      </w:pPr>
      <w:r>
        <w:rPr>
          <w:lang w:val="nl-NL"/>
        </w:rPr>
        <w:t>Van de laden zijn cancellenramen en ventielkasten van eiken; de stokken en roosters zijn van mahonie. De cancelvolgorde is: f cis A G H dis g f</w:t>
      </w:r>
      <w:r>
        <w:rPr>
          <w:vertAlign w:val="superscript"/>
          <w:lang w:val="nl-NL"/>
        </w:rPr>
        <w:t>3</w:t>
      </w:r>
      <w:r>
        <w:rPr>
          <w:lang w:val="nl-NL"/>
        </w:rPr>
        <w:t xml:space="preserve"> (hele tonen) a F Dis Cis C D E Fis b (hele tonen) e</w:t>
      </w:r>
      <w:r>
        <w:rPr>
          <w:vertAlign w:val="superscript"/>
          <w:lang w:val="nl-NL"/>
        </w:rPr>
        <w:t>3</w:t>
      </w:r>
      <w:r>
        <w:rPr>
          <w:lang w:val="nl-NL"/>
        </w:rPr>
        <w:t xml:space="preserve"> gis e c Gis B d fis.</w:t>
      </w:r>
    </w:p>
    <w:p>
      <w:pPr>
        <w:pStyle w:val="T1"/>
        <w:jc w:val="start"/>
        <w:rPr/>
      </w:pPr>
      <w:r>
        <w:rPr>
          <w:lang w:val="nl-NL"/>
        </w:rPr>
        <w:t>Alle metalen binnenpijpen zijn van spitslabia voorzien. Eiken pijpen zijn toegepast bij C-G van de Holpijp 8' en de Roerfluit 8'. De in een Terts getransformeerde Melophone 8' zal oorspronkelijk van C-H gecombineerd zijn geweest met de Prestant 8'. De Quint 2 2/3' dateert uit 1962 en is geplaatst op de tweede sleep vanaf het front gerekend. De pijpen staan in te wijde roostergaten die met vilt sluitend zijn gemaakt (waarschijnlijk stond de Melophone op deze plaats). De Terts 1 3/5' is in 1962 ontstaan door inkorting van het pijpwerk van de Melophone 8'. Daarbij is het pijpwerk een octaaf verschoven (fis</w:t>
      </w:r>
      <w:r>
        <w:rPr>
          <w:vertAlign w:val="superscript"/>
          <w:lang w:val="nl-NL"/>
        </w:rPr>
        <w:t>1</w:t>
      </w:r>
      <w:r>
        <w:rPr>
          <w:lang w:val="nl-NL"/>
        </w:rPr>
        <w:t xml:space="preserve"> staat nu op fis). Het pijpwerk is van hoog tingehalte en heeft thans openfluit-mensuur; de kleinste 12 pijpjes zijn nieuw. De Roerfluit 4' heeft voor het hoogste octaaf conische pijpen. De Viola di Gamba is van C-H gecombineerd met de Roerfluit 8', c-h zijn van kastbaarden voorzien. De Fluit 4' is open, vrij eng van mensuur, met boogvormige opsneden.</w:t>
      </w:r>
    </w:p>
    <w:p>
      <w:pPr>
        <w:pStyle w:val="T1"/>
        <w:jc w:val="start"/>
        <w:rPr/>
      </w:pPr>
      <w:r>
        <w:rPr>
          <w:lang w:val="nl-NL"/>
        </w:rPr>
        <w:t>Expressions zijn toegepast bij de Prestant 8' (tot en met h</w:t>
      </w:r>
      <w:r>
        <w:rPr>
          <w:vertAlign w:val="superscript"/>
          <w:lang w:val="nl-NL"/>
        </w:rPr>
        <w:t>2</w:t>
      </w:r>
      <w:r>
        <w:rPr>
          <w:lang w:val="nl-NL"/>
        </w:rPr>
        <w:t>), de Octaaf 4' (C-h</w:t>
      </w:r>
      <w:r>
        <w:rPr>
          <w:vertAlign w:val="superscript"/>
          <w:lang w:val="nl-NL"/>
        </w:rPr>
        <w:t>1</w:t>
      </w:r>
      <w:r>
        <w:rPr>
          <w:lang w:val="nl-NL"/>
        </w:rPr>
        <w:t>), de Octaaf 2' (C-h), de Viola di Gamba (geheel) en de Fluit 4' (C-h</w:t>
      </w:r>
      <w:r>
        <w:rPr>
          <w:vertAlign w:val="superscript"/>
          <w:lang w:val="nl-NL"/>
        </w:rPr>
        <w:t>1</w:t>
      </w:r>
      <w:r>
        <w:rPr>
          <w:lang w:val="nl-NL"/>
        </w:rPr>
        <w:t>). De Quint 2 2/3' heeft stemkrullen van C-e</w:t>
      </w:r>
      <w:r>
        <w:rPr>
          <w:vertAlign w:val="superscript"/>
          <w:lang w:val="nl-NL"/>
        </w:rPr>
        <w:t>2</w:t>
      </w:r>
      <w:r>
        <w:rPr>
          <w:lang w:val="nl-NL"/>
        </w:rPr>
        <w:t>. Stemkrullen komen ook voor bij de Octaaf 4' (c</w:t>
      </w:r>
      <w:r>
        <w:rPr>
          <w:vertAlign w:val="superscript"/>
          <w:lang w:val="nl-NL"/>
        </w:rPr>
        <w:t>2</w:t>
      </w:r>
      <w:r>
        <w:rPr>
          <w:lang w:val="nl-NL"/>
        </w:rPr>
        <w:t>-a</w:t>
      </w:r>
      <w:r>
        <w:rPr>
          <w:vertAlign w:val="superscript"/>
          <w:lang w:val="nl-NL"/>
        </w:rPr>
        <w:t>2</w:t>
      </w:r>
      <w:r>
        <w:rPr>
          <w:lang w:val="nl-NL"/>
        </w:rPr>
        <w:t>) en bij de Octaaf 2' (c</w:t>
      </w:r>
      <w:r>
        <w:rPr>
          <w:vertAlign w:val="superscript"/>
          <w:lang w:val="nl-NL"/>
        </w:rPr>
        <w:t>1</w:t>
      </w:r>
      <w:r>
        <w:rPr>
          <w:lang w:val="nl-NL"/>
        </w:rPr>
        <w:t>-b</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jc w:val="both"/>
    </w:pPr>
    <w:rPr>
      <w:rFonts w:cs="Courier New"/>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2007-02-12T16:59:00Z</dcterms:created>
  <dc:creator>WS1</dc:creator>
  <dc:description/>
  <dc:language>en-US</dc:language>
  <cp:lastModifiedBy>WS1</cp:lastModifiedBy>
  <dcterms:modified xsi:type="dcterms:W3CDTF">2007-02-12T16:59:00Z</dcterms:modified>
  <cp:revision>2</cp:revision>
  <dc:subject/>
  <dc:title>Westernijkerk (Westernijtsjerk) / 1880</dc:title>
</cp:coreProperties>
</file>