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Zalk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uit omstreeks 1400, gebouwd tegen een forse romaanse tufstenen toren uit het einde van de 13e eeuw. Inwendig kruisribgewelven. Preekstoel en ander meubilair uit de 17e eeuw.</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Op de ornamentiek na is dit front identiek aan dat van het Proper-orgel te Krimpen aan den IJssel uit hetzelfde jaar. Het behoort hiermee tot de gelijkvormige serie grotere Proper-fronten.</w:t>
      </w:r>
    </w:p>
    <w:p>
      <w:pPr>
        <w:pStyle w:val="T2Kunst"/>
        <w:jc w:val="start"/>
        <w:rPr>
          <w:lang w:val="nl-NL"/>
        </w:rPr>
      </w:pPr>
      <w:r>
        <w:rPr>
          <w:lang w:val="nl-NL"/>
        </w:rPr>
        <w:t>In het blinderingssnijwerk overheerst hier de S-rank, hetzij in samenstel, hetzij enkelvoudig. De onderste etages van de tussenvelden worden onderaan afgesloten door twee omkrullende C-voluten in de hoeken, waartussen een flauw gebogen rand die een palmet draagt. De pijpuiteinden van deze velden worden bedekt door halfrond gebogen lijsten. De bovenste etages van de tussenvelden zijn aan onder- en bovenzijde gevat in gebogen lijsten, waartegen bladlobben zijn gezet. Doordat de bovenste lijsten deze lobben aan beide zijden bezitten, ontstaat de indruk van één langgerekt blad.</w:t>
      </w:r>
    </w:p>
    <w:p>
      <w:pPr>
        <w:pStyle w:val="T2Kunst"/>
        <w:jc w:val="start"/>
        <w:rPr>
          <w:lang w:val="nl-NL"/>
        </w:rPr>
      </w:pPr>
      <w:r>
        <w:rPr>
          <w:lang w:val="nl-NL"/>
        </w:rPr>
        <w:t>Beide opengewerkte vleugelstukken zijn ongewoon verfijnd voor het werk van Proper. Zij bestaan uit een grote geknikte S-rank, die in de bovenste krul uitloopt in een herme van een bazuinblazende engel. Daarboven een C-voluut, verlevendigd met rankwerk en een kleine harp. Op de torens, net als op het Proper-orgel in Vorchten (1888), beelden van de zittende koning David met harp, geflankeerd door twee bazuinblazende engelen, allen op hoge piëdestallen.</w:t>
      </w:r>
    </w:p>
    <w:p>
      <w:pPr>
        <w:pStyle w:val="T2Kunst"/>
        <w:jc w:val="start"/>
        <w:rPr>
          <w:lang w:val="nl-NL"/>
        </w:rPr>
      </w:pPr>
      <w:r>
        <w:rPr>
          <w:lang w:val="nl-NL"/>
        </w:rPr>
        <w:t>Onder de tussenvelden panelen met diamantkoppen. De consoles van acanthusbladeren onder de torens zijn wederom prominent in beeld. Onder de console van de middentoren een ovale rolwerkcartouche, waarop de in goud geschilderde namen van de schenkers en de datum van hun gulle gift.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lang w:val="nl-NL"/>
        </w:rPr>
        <w:t xml:space="preserve">Bert Gelderman, ´Het Proper-orgel in de Hervormde kerk te Zalk en Veecaten´. </w:t>
      </w:r>
      <w:r>
        <w:rPr>
          <w:i/>
          <w:iCs/>
          <w:lang w:val="nl-NL"/>
        </w:rPr>
        <w:t>De Orgelvriend</w:t>
      </w:r>
      <w:r>
        <w:rPr>
          <w:lang w:val="nl-NL"/>
        </w:rPr>
        <w:t>, 46/1 (2004), 12-14, 18; 46/2 (2004), 30-33.</w:t>
      </w:r>
    </w:p>
    <w:p>
      <w:pPr>
        <w:pStyle w:val="T3Lit"/>
        <w:jc w:val="start"/>
        <w:rPr/>
      </w:pPr>
      <w:r>
        <w:rPr>
          <w:i/>
          <w:iCs/>
          <w:lang w:val="nl-NL"/>
        </w:rPr>
        <w:t>Het Orgel</w:t>
      </w:r>
      <w:r>
        <w:rPr>
          <w:lang w:val="nl-NL"/>
        </w:rPr>
        <w:t>, 6/7 (1891).</w:t>
      </w:r>
    </w:p>
    <w:p>
      <w:pPr>
        <w:pStyle w:val="T3Lit"/>
        <w:jc w:val="start"/>
        <w:rPr/>
      </w:pPr>
      <w:r>
        <w:rPr>
          <w:lang w:val="nl-NL"/>
        </w:rPr>
        <w:t xml:space="preserve">H. Schaapman, </w:t>
      </w:r>
      <w:r>
        <w:rPr>
          <w:i/>
          <w:lang w:val="nl-NL"/>
        </w:rPr>
        <w:t>Het Proper-orgel van de Nederlandse Hervormde Sint Nicolaaskerk te Zalk en Veecaten</w:t>
      </w:r>
      <w:r>
        <w:rPr>
          <w:lang w:val="nl-NL"/>
        </w:rPr>
        <w:t>. Z.p. [Zalk], z.j.</w:t>
      </w:r>
    </w:p>
    <w:p>
      <w:pPr>
        <w:pStyle w:val="T3Lit"/>
        <w:jc w:val="start"/>
        <w:rPr/>
      </w:pPr>
      <w:r>
        <w:rPr>
          <w:lang w:val="nl-NL"/>
        </w:rPr>
        <w:t xml:space="preserve">Maarten Seijbel, </w:t>
      </w:r>
      <w:r>
        <w:rPr>
          <w:i/>
          <w:lang w:val="nl-NL"/>
        </w:rPr>
        <w:t>Orgels in Overijssel</w:t>
      </w:r>
      <w:r>
        <w:rPr>
          <w:lang w:val="nl-NL"/>
        </w:rPr>
        <w:t>. Elburg, 1965, 113.</w:t>
      </w:r>
    </w:p>
    <w:p>
      <w:pPr>
        <w:pStyle w:val="T3Lit"/>
        <w:jc w:val="start"/>
        <w:rPr/>
      </w:pPr>
      <w:r>
        <w:rPr>
          <w:lang w:val="nl-NL"/>
        </w:rPr>
        <w:t xml:space="preserve">Maarten Seijbel, ‘Twee Orgels uit het IJssellandschap wachten op restauratie’. </w:t>
      </w:r>
      <w:r>
        <w:rPr>
          <w:i/>
          <w:lang w:val="nl-NL"/>
        </w:rPr>
        <w:t>Publicatie van de Stichting tot behoud van het Nederlandse Orgel</w:t>
      </w:r>
      <w:r>
        <w:rPr>
          <w:lang w:val="nl-NL"/>
        </w:rPr>
        <w:t>, 54 (2001), 5-11.</w:t>
      </w:r>
    </w:p>
    <w:p>
      <w:pPr>
        <w:pStyle w:val="T3Lit"/>
        <w:jc w:val="start"/>
        <w:rPr/>
      </w:pPr>
      <w:r>
        <w:rPr>
          <w:lang w:val="nl-NL"/>
        </w:rPr>
        <w:t xml:space="preserve">R. Walsma, </w:t>
      </w:r>
      <w:r>
        <w:rPr>
          <w:i/>
          <w:iCs/>
          <w:lang w:val="nl-NL"/>
        </w:rPr>
        <w:t>Herziene en uitgebreide werklijst Properorgels</w:t>
      </w:r>
      <w:r>
        <w:rPr>
          <w:lang w:val="nl-NL"/>
        </w:rPr>
        <w:t>. Leeuwarden, 2005, 26.</w:t>
      </w:r>
    </w:p>
    <w:p>
      <w:pPr>
        <w:pStyle w:val="T3Lit"/>
        <w:jc w:val="start"/>
        <w:rPr/>
      </w:pPr>
      <w:r>
        <w:rPr>
          <w:lang w:val="nl-NL"/>
        </w:rPr>
        <w:t xml:space="preserve">R. Walsma, </w:t>
      </w:r>
      <w:r>
        <w:rPr>
          <w:i/>
          <w:iCs/>
          <w:lang w:val="nl-NL"/>
        </w:rPr>
        <w:t>Jan Proper (1853-1922), orgelbouwer op het grensvlak van ambachtelijk en industrieel</w:t>
      </w:r>
      <w:r>
        <w:rPr>
          <w:lang w:val="nl-NL"/>
        </w:rPr>
        <w:t>. Leeuwarden, 2005, 13, 15, 28.</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Orgelmakerij Gebr. Reil.</w:t>
      </w:r>
    </w:p>
    <w:p>
      <w:pPr>
        <w:pStyle w:val="T3Lit"/>
        <w:jc w:val="start"/>
        <w:rPr>
          <w:lang w:val="nl-NL"/>
        </w:rPr>
      </w:pPr>
      <w:r>
        <w:rPr>
          <w:lang w:val="nl-NL"/>
        </w:rPr>
        <w:t>SKKN, dossier Zalk NHK, inventarisrapport 1983.</w:t>
      </w:r>
    </w:p>
    <w:p>
      <w:pPr>
        <w:pStyle w:val="T3Lit"/>
        <w:jc w:val="start"/>
        <w:rPr/>
      </w:pPr>
      <w:r>
        <w:rPr>
          <w:lang w:val="nl-NL"/>
        </w:rPr>
        <w:t xml:space="preserve">Stef Tuinstra, </w:t>
      </w:r>
      <w:r>
        <w:rPr>
          <w:i/>
          <w:iCs/>
          <w:lang w:val="nl-NL"/>
        </w:rPr>
        <w:t>Van Dijk/Proper-orgel Zalk. Historisch en bouwkundig rapport met restauratieplan betreffende het orgel in de Nederlands Hervormde Kerk.</w:t>
      </w:r>
      <w:r>
        <w:rPr>
          <w:lang w:val="nl-NL"/>
        </w:rPr>
        <w:t xml:space="preserve"> [2003].</w:t>
      </w:r>
    </w:p>
    <w:p>
      <w:pPr>
        <w:pStyle w:val="T3Lit"/>
        <w:jc w:val="start"/>
        <w:rPr>
          <w:lang w:val="nl-NL"/>
        </w:rPr>
      </w:pPr>
      <w:r>
        <w:rPr>
          <w:lang w:val="nl-NL"/>
        </w:rPr>
      </w:r>
    </w:p>
    <w:p>
      <w:pPr>
        <w:pStyle w:val="T3Lit"/>
        <w:jc w:val="start"/>
        <w:rPr>
          <w:lang w:val="nl-NL"/>
        </w:rPr>
      </w:pPr>
      <w:r>
        <w:rPr>
          <w:lang w:val="nl-NL"/>
        </w:rPr>
        <w:t>Monumentnummer 39914</w:t>
      </w:r>
    </w:p>
    <w:p>
      <w:pPr>
        <w:pStyle w:val="T3Lit"/>
        <w:jc w:val="start"/>
        <w:rPr>
          <w:lang w:val="nl-NL"/>
        </w:rPr>
      </w:pPr>
      <w:r>
        <w:rPr>
          <w:lang w:val="nl-NL"/>
        </w:rPr>
        <w:t>Orgelnummer 1737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Z. van Dijk en 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G.A.C. de Graaf 1962</w:t>
      </w:r>
    </w:p>
    <w:p>
      <w:pPr>
        <w:pStyle w:val="T1"/>
        <w:jc w:val="start"/>
        <w:rPr>
          <w:lang w:val="nl-NL"/>
        </w:rPr>
      </w:pPr>
      <w:r>
        <w:rPr>
          <w:lang w:val="nl-NL"/>
        </w:rPr>
        <w:t>.</w:t>
        <w:tab/>
        <w:t>orgel gewijzigd</w:t>
      </w:r>
    </w:p>
    <w:p>
      <w:pPr>
        <w:pStyle w:val="T1"/>
        <w:jc w:val="start"/>
        <w:rPr>
          <w:lang w:val="nl-NL"/>
        </w:rPr>
      </w:pPr>
      <w:r>
        <w:rPr>
          <w:lang w:val="nl-NL"/>
        </w:rPr>
        <w:t>.</w:t>
        <w:tab/>
        <w:t>frontpijpen in de torens vernieuwd</w:t>
      </w:r>
    </w:p>
    <w:p>
      <w:pPr>
        <w:pStyle w:val="T1"/>
        <w:jc w:val="start"/>
        <w:rPr>
          <w:lang w:val="nl-NL"/>
        </w:rPr>
      </w:pPr>
      <w:r>
        <w:rPr>
          <w:lang w:val="nl-NL"/>
        </w:rPr>
        <w:t>.</w:t>
        <w:tab/>
        <w:t>nieuwe windvoorziening en flexibele conducten aangebracht</w:t>
      </w:r>
    </w:p>
    <w:p>
      <w:pPr>
        <w:pStyle w:val="T1"/>
        <w:jc w:val="start"/>
        <w:rPr>
          <w:lang w:val="nl-NL"/>
        </w:rPr>
      </w:pPr>
      <w:r>
        <w:rPr>
          <w:lang w:val="nl-NL"/>
        </w:rPr>
        <w:t>.</w:t>
        <w:tab/>
        <w:t>tractuur BW gewijzigd, klaviatuur verder uit de kas gelegd</w:t>
      </w:r>
    </w:p>
    <w:p>
      <w:pPr>
        <w:pStyle w:val="T1"/>
        <w:jc w:val="start"/>
        <w:rPr>
          <w:lang w:val="nl-NL"/>
        </w:rPr>
      </w:pPr>
      <w:r>
        <w:rPr>
          <w:lang w:val="nl-NL"/>
        </w:rPr>
        <w:t>.</w:t>
        <w:tab/>
        <w:t>mechanieken deels vernieuwd; drie koppelingen, uitgevoerd als treden, aangebracht</w:t>
      </w:r>
    </w:p>
    <w:p>
      <w:pPr>
        <w:pStyle w:val="T1"/>
        <w:numPr>
          <w:ilvl w:val="0"/>
          <w:numId w:val="3"/>
        </w:numPr>
        <w:jc w:val="start"/>
        <w:rPr>
          <w:lang w:val="nl-NL"/>
        </w:rPr>
      </w:pPr>
      <w:r>
        <w:rPr>
          <w:lang w:val="nl-NL"/>
        </w:rPr>
        <w:t>windlade HW gewijzigd; één ventielkast verwijderd, de tweede verplaatst; windladen van verende bodems voorzien</w:t>
      </w:r>
    </w:p>
    <w:p>
      <w:pPr>
        <w:pStyle w:val="T1"/>
        <w:numPr>
          <w:ilvl w:val="0"/>
          <w:numId w:val="2"/>
        </w:numPr>
        <w:jc w:val="start"/>
        <w:rPr>
          <w:lang w:val="nl-NL"/>
        </w:rPr>
      </w:pPr>
      <w:r>
        <w:rPr>
          <w:lang w:val="nl-NL"/>
        </w:rPr>
        <w:t>HW + Mixtuur 4 st. op kantsleep; vermoedelijk bij die gelegenheid Bourdon 16' buiten gebruik gesteld</w:t>
      </w:r>
    </w:p>
    <w:p>
      <w:pPr>
        <w:pStyle w:val="T1"/>
        <w:jc w:val="start"/>
        <w:rPr>
          <w:lang w:val="nl-NL"/>
        </w:rPr>
      </w:pPr>
      <w:r>
        <w:rPr>
          <w:lang w:val="nl-NL"/>
        </w:rPr>
      </w:r>
    </w:p>
    <w:p>
      <w:pPr>
        <w:pStyle w:val="T1"/>
        <w:jc w:val="start"/>
        <w:rPr>
          <w:lang w:val="nl-NL"/>
        </w:rPr>
      </w:pPr>
      <w:r>
        <w:rPr>
          <w:lang w:val="nl-NL"/>
        </w:rPr>
        <w:t>1970</w:t>
      </w:r>
    </w:p>
    <w:p>
      <w:pPr>
        <w:pStyle w:val="T1"/>
        <w:jc w:val="start"/>
        <w:rPr>
          <w:lang w:val="nl-NL"/>
        </w:rPr>
      </w:pPr>
      <w:r>
        <w:rPr>
          <w:lang w:val="nl-NL"/>
        </w:rPr>
        <w:t>.</w:t>
        <w:tab/>
        <w:t>achterzijde orgelkas opnieuw geschilderd</w:t>
      </w:r>
    </w:p>
    <w:p>
      <w:pPr>
        <w:pStyle w:val="T1"/>
        <w:jc w:val="start"/>
        <w:rPr>
          <w:lang w:val="nl-NL"/>
        </w:rPr>
      </w:pPr>
      <w:r>
        <w:rPr>
          <w:lang w:val="nl-NL"/>
        </w:rPr>
      </w:r>
    </w:p>
    <w:p>
      <w:pPr>
        <w:pStyle w:val="T1"/>
        <w:jc w:val="start"/>
        <w:rPr>
          <w:lang w:val="nl-NL"/>
        </w:rPr>
      </w:pPr>
      <w:r>
        <w:rPr>
          <w:lang w:val="nl-NL"/>
        </w:rPr>
        <w:t>Hendriksen &amp; Reitsma 1996</w:t>
      </w:r>
    </w:p>
    <w:p>
      <w:pPr>
        <w:pStyle w:val="T1"/>
        <w:jc w:val="start"/>
        <w:rPr>
          <w:lang w:val="nl-NL"/>
        </w:rPr>
      </w:pPr>
      <w:r>
        <w:rPr>
          <w:lang w:val="nl-NL"/>
        </w:rPr>
        <w:t>.</w:t>
        <w:tab/>
        <w:t>beperkt herstel na gedeeltelijke kerkrestauratie</w:t>
      </w:r>
    </w:p>
    <w:p>
      <w:pPr>
        <w:pStyle w:val="T1"/>
        <w:jc w:val="start"/>
        <w:rPr>
          <w:lang w:val="nl-NL"/>
        </w:rPr>
      </w:pPr>
      <w:r>
        <w:rPr>
          <w:lang w:val="nl-NL"/>
        </w:rPr>
      </w:r>
    </w:p>
    <w:p>
      <w:pPr>
        <w:pStyle w:val="T1"/>
        <w:jc w:val="start"/>
        <w:rPr>
          <w:lang w:val="nl-NL"/>
        </w:rPr>
      </w:pPr>
      <w:r>
        <w:rPr>
          <w:lang w:val="nl-NL"/>
        </w:rPr>
        <w:t>Hendriksen &amp; Reitsma 1997</w:t>
      </w:r>
    </w:p>
    <w:p>
      <w:pPr>
        <w:pStyle w:val="T1"/>
        <w:jc w:val="start"/>
        <w:rPr>
          <w:lang w:val="nl-NL"/>
        </w:rPr>
      </w:pPr>
      <w:r>
        <w:rPr>
          <w:lang w:val="nl-NL"/>
        </w:rPr>
        <w:t>.</w:t>
        <w:tab/>
        <w:t>orgel hersteld en vervolgens ingepakt in kader kerkrestauratie</w:t>
      </w:r>
    </w:p>
    <w:p>
      <w:pPr>
        <w:pStyle w:val="T1"/>
        <w:jc w:val="start"/>
        <w:rPr>
          <w:lang w:val="nl-NL"/>
        </w:rPr>
      </w:pPr>
      <w:r>
        <w:rPr>
          <w:lang w:val="nl-NL"/>
        </w:rPr>
      </w:r>
    </w:p>
    <w:p>
      <w:pPr>
        <w:pStyle w:val="T1"/>
        <w:jc w:val="start"/>
        <w:rPr>
          <w:lang w:val="nl-NL"/>
        </w:rPr>
      </w:pPr>
      <w:r>
        <w:rPr>
          <w:lang w:val="nl-NL"/>
        </w:rPr>
        <w:t>Hendriksen &amp; Reitsma 1999</w:t>
      </w:r>
    </w:p>
    <w:p>
      <w:pPr>
        <w:pStyle w:val="T1"/>
        <w:jc w:val="start"/>
        <w:rPr>
          <w:lang w:val="nl-NL"/>
        </w:rPr>
      </w:pPr>
      <w:r>
        <w:rPr>
          <w:lang w:val="nl-NL"/>
        </w:rPr>
        <w:t>.</w:t>
        <w:tab/>
        <w:t>orgel uitgepakt en speelklaar 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 (zonder eigen registers)</w:t>
      </w:r>
    </w:p>
    <w:p>
      <w:pPr>
        <w:pStyle w:val="T1"/>
        <w:jc w:val="start"/>
        <w:rPr>
          <w:lang w:val="nl-NL"/>
        </w:rPr>
      </w:pPr>
      <w:r>
        <w:rPr>
          <w:lang w:val="nl-NL"/>
        </w:rPr>
      </w:r>
    </w:p>
    <w:p>
      <w:pPr>
        <w:pStyle w:val="T1"/>
        <w:jc w:val="start"/>
        <w:rPr/>
      </w:pPr>
      <w:r>
        <w:rPr/>
        <w:t>Dispositie</w:t>
      </w:r>
    </w:p>
    <w:tbl>
      <w:tblPr>
        <w:tblW w:w="4639" w:type="dxa"/>
        <w:jc w:val="start"/>
        <w:tblInd w:w="-70" w:type="dxa"/>
        <w:tblLayout w:type="fixed"/>
        <w:tblCellMar>
          <w:top w:w="0" w:type="dxa"/>
          <w:start w:w="70" w:type="dxa"/>
          <w:bottom w:w="0" w:type="dxa"/>
          <w:end w:w="70" w:type="dxa"/>
        </w:tblCellMar>
      </w:tblPr>
      <w:tblGrid>
        <w:gridCol w:w="1600"/>
        <w:gridCol w:w="631"/>
        <w:gridCol w:w="1690"/>
        <w:gridCol w:w="718"/>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Holpÿp</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Principal</w:t>
            </w:r>
          </w:p>
          <w:p>
            <w:pPr>
              <w:pStyle w:val="T4dispositie"/>
              <w:rPr>
                <w:lang w:val="nl-NL"/>
              </w:rPr>
            </w:pPr>
            <w:r>
              <w:rPr>
                <w:lang w:val="nl-NL"/>
              </w:rPr>
              <w:t>Doesfluit</w:t>
            </w:r>
          </w:p>
          <w:p>
            <w:pPr>
              <w:pStyle w:val="T4dispositie"/>
              <w:rPr>
                <w:lang w:val="nl-NL"/>
              </w:rPr>
            </w:pPr>
            <w:r>
              <w:rPr>
                <w:lang w:val="nl-NL"/>
              </w:rPr>
              <w:t>Viola di Gamba</w:t>
            </w:r>
          </w:p>
          <w:p>
            <w:pPr>
              <w:pStyle w:val="T4dispositie"/>
              <w:rPr>
                <w:lang w:val="nl-NL"/>
              </w:rPr>
            </w:pPr>
            <w:r>
              <w:rPr>
                <w:lang w:val="nl-NL"/>
              </w:rPr>
              <w:t>Vox Celeste D</w:t>
            </w:r>
          </w:p>
          <w:p>
            <w:pPr>
              <w:pStyle w:val="T4dispositie"/>
              <w:rPr>
                <w:lang w:val="nl-NL"/>
              </w:rPr>
            </w:pPr>
            <w:r>
              <w:rPr>
                <w:lang w:val="nl-NL"/>
              </w:rPr>
              <w:t>Speelfluit</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lang w:val="nl-NL"/>
        </w:rPr>
      </w:pPr>
      <w:r>
        <w:rPr>
          <w:lang w:val="nl-NL"/>
        </w:rPr>
        <w:t>* buiten gebruik, registerknop vastgezet</w:t>
      </w:r>
    </w:p>
    <w:p>
      <w:pPr>
        <w:pStyle w:val="T4dispositie"/>
        <w:rPr>
          <w:lang w:val="nl-NL"/>
        </w:rPr>
      </w:pPr>
      <w:r>
        <w:rPr>
          <w:lang w:val="nl-NL"/>
        </w:rPr>
        <w:t>twee loze registerknoppen</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r>
    </w:p>
    <w:p>
      <w:pPr>
        <w:pStyle w:val="T1"/>
        <w:jc w:val="start"/>
        <w:rPr>
          <w:lang w:val="nl-NL"/>
        </w:rPr>
      </w:pPr>
      <w:r>
        <w:rPr>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naaldhout. De windvoorziening bevindt zich in de onderkas. Oorspronkelijk had het orgel een magazijnbalg met twee schepbalgen en een handpomp.</w:t>
      </w:r>
    </w:p>
    <w:p>
      <w:pPr>
        <w:pStyle w:val="T1"/>
        <w:jc w:val="start"/>
        <w:rPr>
          <w:lang w:val="nl-NL"/>
        </w:rPr>
      </w:pPr>
      <w:r>
        <w:rPr>
          <w:lang w:val="nl-NL"/>
        </w:rPr>
        <w:t>De handklavieren en registerknoppen zijn nog origineel. De toetsen van de handklavieren zijn van fichte. De registerknoppen zijn voorzien van porseleinen naamplaatjes. Oorspronkelijk waren er twee treden aanwezig: een voor de manuaalkoppel en een voor de forte/piano inrichting. Het Ped was aangehangen.</w:t>
      </w:r>
    </w:p>
    <w:p>
      <w:pPr>
        <w:pStyle w:val="T1"/>
        <w:jc w:val="start"/>
        <w:rPr/>
      </w:pPr>
      <w:r>
        <w:rPr>
          <w:lang w:val="nl-NL"/>
        </w:rPr>
        <w:t>De windladen voor beide werken zijn niet gedeeld. Oorspronkelijk had de windlade van het HW twee ventielkasten ten behoeve van een piano/forte inrichting. In 1962 is deze inrichting verwijderd evenals één van de beide ventielkasten. De overgebleven ventielkast werd verplaatst om beide ladedelen te bedienen. De windladen zijn van eiken met mahonie stokken. Voor het HW zijn afzonderlijke C- en Cis-laden aanwezig. De cancelvolgorde is als volgt: A F Cis Dis G f</w:t>
      </w:r>
      <w:r>
        <w:rPr>
          <w:vertAlign w:val="superscript"/>
          <w:lang w:val="nl-NL"/>
        </w:rPr>
        <w:t>3</w:t>
      </w:r>
      <w:r>
        <w:rPr>
          <w:lang w:val="nl-NL"/>
        </w:rPr>
        <w:t>-H / B-e</w:t>
      </w:r>
      <w:r>
        <w:rPr>
          <w:vertAlign w:val="superscript"/>
          <w:lang w:val="nl-NL"/>
        </w:rPr>
        <w:t>3</w:t>
      </w:r>
      <w:r>
        <w:rPr>
          <w:lang w:val="nl-NL"/>
        </w:rPr>
        <w:t xml:space="preserve"> Fis D C E Gis. Voor het BW is een ongedeelde lade aanwezig, ingedeeld vanuit het midden naar weerszijden toe aflopend.</w:t>
      </w:r>
    </w:p>
    <w:p>
      <w:pPr>
        <w:pStyle w:val="T1"/>
        <w:jc w:val="start"/>
        <w:rPr/>
      </w:pPr>
      <w:r>
        <w:rPr>
          <w:lang w:val="nl-NL"/>
        </w:rPr>
        <w:t>De Prestant 8' van het HW staat van C-fis</w:t>
      </w:r>
      <w:r>
        <w:rPr>
          <w:vertAlign w:val="superscript"/>
          <w:lang w:val="nl-NL"/>
        </w:rPr>
        <w:t>1</w:t>
      </w:r>
      <w:r>
        <w:rPr>
          <w:lang w:val="nl-NL"/>
        </w:rPr>
        <w:t xml:space="preserve"> in het front, het vervolg staat op de lade. C-h van de Bourdon 16' zijn van hout, de overige pijpen zijn van metaal (gedekt). C-H van de Holpÿp 8' zijn van hout en van de lade afgevoerd, het vervolg is van metaal, gedekt. De Roerfluit 4' is geheel van metaal en voorzien van roeren. De Trompet 8' heeft zinken stevels en loden koppen. De bekers voor C-H zijn van zink, de overige bekers zijn van metaal.</w:t>
      </w:r>
    </w:p>
    <w:p>
      <w:pPr>
        <w:pStyle w:val="T1"/>
        <w:jc w:val="start"/>
        <w:rPr/>
      </w:pPr>
      <w:r>
        <w:rPr>
          <w:lang w:val="nl-NL"/>
        </w:rPr>
        <w:t>De Principal 8' van het BW is van C-Fis gecombineerd met de Doesfluit 8'. G en Gis zijn open eiken pijpen die afgevoerd achter de middentoren staan opgesteld, A-dis</w:t>
      </w:r>
      <w:r>
        <w:rPr>
          <w:vertAlign w:val="superscript"/>
          <w:lang w:val="nl-NL"/>
        </w:rPr>
        <w:t>1</w:t>
      </w:r>
      <w:r>
        <w:rPr>
          <w:lang w:val="nl-NL"/>
        </w:rPr>
        <w:t xml:space="preserve"> staan in het front, het vervolg staat op de lade. C-H van de Doesfluit 8' zijn van eiken, het vervolg is van metaal, gedekt. De Viola di Gamba 8' is van C-H gecombineerd met de Doesfluit. In de stok van de Voix Celeste D 8 zijn nog vijf lege boringen zichtbaar waaruit zou kunnen worden afgeleid dat dit register oorspronkelijk op g begon. De Speelfluit 4' is geheel open, cilindrisch.</w:t>
      </w:r>
    </w:p>
    <w:p>
      <w:pPr>
        <w:pStyle w:val="T1"/>
        <w:jc w:val="start"/>
        <w:rPr/>
      </w:pPr>
      <w:r>
        <w:rPr>
          <w:lang w:val="nl-NL"/>
        </w:rPr>
        <w:t>Het merendeel van het metalen binnenpijpwerk heeft bijgedrukte labia met kaaklijnen. De Voix Celeste bestaat uit pijpwerk met geperste labia. Expressions zijn toegepast bij alle open achtvoets registers, de gehele Octaaf 4' en verder bij de Quint 3' (C-b</w:t>
      </w:r>
      <w:r>
        <w:rPr>
          <w:vertAlign w:val="superscript"/>
          <w:lang w:val="nl-NL"/>
        </w:rPr>
        <w:t>2</w:t>
      </w:r>
      <w:r>
        <w:rPr>
          <w:lang w:val="nl-NL"/>
        </w:rPr>
        <w:t>) en de Octaaf 2' (C-e</w:t>
      </w:r>
      <w:r>
        <w:rPr>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abstractNum w:abstractNumId="3">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b/>
      <w:bCs/>
      <w:szCs w:val="24"/>
      <w:lang w:val="en-US"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2007-02-12T17:02:00Z</dcterms:created>
  <dc:creator>WS1</dc:creator>
  <dc:description/>
  <dc:language>en-US</dc:language>
  <cp:lastModifiedBy>WS1</cp:lastModifiedBy>
  <dcterms:modified xsi:type="dcterms:W3CDTF">2007-02-12T17:02:00Z</dcterms:modified>
  <cp:revision>2</cp:revision>
  <dc:subject/>
  <dc:title>Olst / 1880</dc:title>
</cp:coreProperties>
</file>