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Haarlem / 1894</w:t>
      </w:r>
    </w:p>
    <w:p>
      <w:pPr>
        <w:pStyle w:val="Heading2"/>
        <w:rPr>
          <w:i w:val="false"/>
          <w:i w:val="false"/>
          <w:iCs/>
        </w:rPr>
      </w:pPr>
      <w:r>
        <w:rPr>
          <w:i w:val="false"/>
          <w:iCs/>
        </w:rPr>
        <w:t>R.K. Kerk H. Adelbertuskerk</w:t>
      </w:r>
    </w:p>
    <w:p>
      <w:pPr>
        <w:pStyle w:val="T1"/>
        <w:rPr>
          <w:i/>
          <w:i/>
          <w:iCs/>
          <w:lang w:val="nl-NL"/>
        </w:rPr>
      </w:pPr>
      <w:r>
        <w:rPr>
          <w:i/>
          <w:iCs/>
          <w:lang w:val="nl-NL"/>
        </w:rPr>
      </w:r>
    </w:p>
    <w:p>
      <w:pPr>
        <w:pStyle w:val="T1"/>
        <w:jc w:val="start"/>
        <w:rPr>
          <w:i/>
          <w:i/>
          <w:iCs/>
          <w:lang w:val="nl-NL"/>
        </w:rPr>
      </w:pPr>
      <w:r>
        <w:rPr>
          <w:i/>
          <w:iCs/>
          <w:lang w:val="nl-NL"/>
        </w:rPr>
        <w:t>Gebouwd in 1920-1921 en 1928-1929 als St-Liduïnakerk naar ontwerp van Jos Margry; na een fusie met twee andere parochies herdoopt in St-Adelbertuskerk. Driebeukige kruisbasiliek met centraliserende werking, voorzien van een twee-toren front. Inwendig kruisribgewelven. Reeks gebrandschilderde ramen door Joep Nicolas uit 1960-1965. In 1996 op een uitermate onbehouwen wijze verminkt door het uitbreken van de zijbeuksgewelven en het aanbrengen van glasdaken in de zijbeuken, waardoor de gebrandschilderde ramen hun werking grotendeels hebben verloren.</w:t>
      </w:r>
    </w:p>
    <w:p>
      <w:pPr>
        <w:pStyle w:val="T1"/>
        <w:rPr>
          <w:i/>
          <w:i/>
          <w:iCs/>
          <w:lang w:val="nl-NL"/>
        </w:rPr>
      </w:pPr>
      <w:r>
        <w:rPr>
          <w:i/>
          <w:iCs/>
          <w:lang w:val="nl-NL"/>
        </w:rPr>
      </w:r>
    </w:p>
    <w:p>
      <w:pPr>
        <w:pStyle w:val="T1"/>
        <w:rPr>
          <w:lang w:val="nl-NL"/>
        </w:rPr>
      </w:pPr>
      <w:r>
        <w:rPr>
          <w:lang w:val="nl-NL"/>
        </w:rPr>
        <w:t>Kas: 1894</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orgel met een vijfdelig neoromaans front, bestaande uit een vlakke verlaagde middentoren, twee vlakke horizontaal afgesloten tussenvelden, waarin rondbogige pijpvelden zijn uitgespaard, en vlakke zijtorens. De opbouw doet enigszins denken aan een der standaardfronten van Cavaillé-Coll, in de catalogus </w:t>
      </w:r>
      <w:r>
        <w:rPr>
          <w:i/>
          <w:iCs/>
          <w:lang w:val="nl-NL"/>
        </w:rPr>
        <w:t>Orgues de tous modèles</w:t>
      </w:r>
      <w:r>
        <w:rPr>
          <w:lang w:val="nl-NL"/>
        </w:rPr>
        <w:t xml:space="preserve"> uit 1889, nr 18. Alleen zijn daar nog gotiserende elementen te zien, zoals spitsbogige velden, terwijl de decoratie iets rijker is. Verder zijn ook de aantallen pijpen in velden en torens verschillend. De verhoogde frontstokken in de velden hebben beide fronten echter gemeen. Blinderingen ontbreken.</w:t>
      </w:r>
    </w:p>
    <w:p>
      <w:pPr>
        <w:pStyle w:val="T2Kunst"/>
        <w:jc w:val="start"/>
        <w:rPr>
          <w:lang w:val="nl-NL"/>
        </w:rPr>
      </w:pPr>
      <w:r>
        <w:rPr>
          <w:lang w:val="nl-NL"/>
        </w:rPr>
        <w:t>De decoratie is een vrij opgevatte romaanse vormgeving. De zijstijlen van de velden zijn getransformeerd tot ronde zuiltjes met knopkapitelen, eerder een vroeggotisch dan een romaans element. In de boogzwikken is een rondboogfries aangebracht. De bogen van de pijpvelden zijn voorzien van een ingesneden decoratie van afwisselend trapezia en driehoeken, wat een romaanse zigzag-decoratie moet suggereren. De zijstijlen van de torens hebben door toevoeging van kapitelen het karakter van pilasters gekregen. Deze dragen bogen van dezelfde vorm als de velden. De middentoren wordt bekroond door een gebogen dakvorm met een zaaglijst eronder en op de hoeken merkwaardige zuilschachten en bekroond door een kruis. De zijtorens zijn voorzien van wimbergen met een rozet en een kruisbloem als bekroning; men ziet hier dezelfde zuilschachten op de hoeken als bij de middentoren. Onder de verhoogde frontstokken zijn eenvoudige bloemmotieven aangebracht. De achterzijde van de vrijstaande speeltafel bevat twee panelen die zijn versierd met een eenvoudig rondboogfries.</w:t>
      </w:r>
    </w:p>
    <w:p>
      <w:pPr>
        <w:pStyle w:val="T1"/>
        <w:rPr>
          <w:lang w:val="nl-NL"/>
        </w:rPr>
      </w:pPr>
      <w:r>
        <w:rPr>
          <w:lang w:val="nl-NL"/>
        </w:rPr>
      </w:r>
    </w:p>
    <w:p>
      <w:pPr>
        <w:pStyle w:val="T3Lit"/>
        <w:rPr>
          <w:b/>
          <w:b/>
          <w:bCs/>
          <w:lang w:val="nl-NL"/>
        </w:rPr>
      </w:pPr>
      <w:r>
        <w:rPr>
          <w:b/>
          <w:bCs/>
          <w:lang w:val="nl-NL"/>
        </w:rPr>
        <w:t>Literatuur</w:t>
      </w:r>
    </w:p>
    <w:p>
      <w:pPr>
        <w:pStyle w:val="T3Lit"/>
        <w:rPr/>
      </w:pPr>
      <w:r>
        <w:rPr>
          <w:iCs/>
          <w:lang w:val="nl-NL"/>
        </w:rPr>
        <w:t xml:space="preserve">Fotokaart </w:t>
      </w:r>
      <w:r>
        <w:rPr>
          <w:i/>
          <w:lang w:val="nl-NL"/>
        </w:rPr>
        <w:t>De Mixtuur</w:t>
      </w:r>
      <w:r>
        <w:rPr>
          <w:iCs/>
          <w:lang w:val="nl-NL"/>
        </w:rPr>
        <w:t>.</w:t>
      </w:r>
    </w:p>
    <w:p>
      <w:pPr>
        <w:pStyle w:val="T3Lit"/>
        <w:rPr>
          <w:lang w:val="nl-NL"/>
        </w:rPr>
      </w:pPr>
      <w:r>
        <w:rPr>
          <w:i/>
          <w:lang w:val="nl-NL"/>
        </w:rPr>
        <w:t xml:space="preserve">Het Orgel, </w:t>
      </w:r>
      <w:r>
        <w:rPr>
          <w:iCs/>
          <w:lang w:val="nl-NL"/>
        </w:rPr>
        <w:t>73/11 (1977), 358-359.</w:t>
      </w:r>
    </w:p>
    <w:p>
      <w:pPr>
        <w:pStyle w:val="T3Lit"/>
        <w:rPr>
          <w:lang w:val="nl-NL"/>
        </w:rPr>
      </w:pPr>
      <w:r>
        <w:rPr>
          <w:lang w:val="nl-NL"/>
        </w:rPr>
      </w:r>
    </w:p>
    <w:p>
      <w:pPr>
        <w:pStyle w:val="T3Lit"/>
        <w:rPr>
          <w:lang w:val="nl-NL"/>
        </w:rPr>
      </w:pPr>
      <w:r>
        <w:rPr>
          <w:lang w:val="nl-NL"/>
        </w:rPr>
        <w:t>Orgelnummer 1889</w:t>
      </w:r>
    </w:p>
    <w:p>
      <w:pPr>
        <w:pStyle w:val="T1"/>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Ch. Anneessens et fils</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1894</w:t>
      </w:r>
    </w:p>
    <w:p>
      <w:pPr>
        <w:pStyle w:val="T1"/>
        <w:rPr>
          <w:lang w:val="nl-NL"/>
        </w:rPr>
      </w:pPr>
      <w:r>
        <w:rPr>
          <w:lang w:val="nl-NL"/>
        </w:rPr>
      </w:r>
    </w:p>
    <w:p>
      <w:pPr>
        <w:pStyle w:val="T1"/>
        <w:rPr>
          <w:lang w:val="nl-NL"/>
        </w:rPr>
      </w:pPr>
      <w:r>
        <w:rPr>
          <w:lang w:val="nl-NL"/>
        </w:rPr>
        <w:t>Oorspronkelijke locatie</w:t>
      </w:r>
    </w:p>
    <w:p>
      <w:pPr>
        <w:pStyle w:val="T1"/>
        <w:rPr>
          <w:lang w:val="nl-NL"/>
        </w:rPr>
      </w:pPr>
      <w:r>
        <w:rPr>
          <w:lang w:val="nl-NL"/>
        </w:rPr>
        <w:t>Brussel, kapel paters Jezuïeten</w:t>
      </w:r>
    </w:p>
    <w:p>
      <w:pPr>
        <w:pStyle w:val="T1"/>
        <w:rPr>
          <w:lang w:val="nl-NL"/>
        </w:rPr>
      </w:pPr>
      <w:r>
        <w:rPr>
          <w:lang w:val="nl-NL"/>
        </w:rPr>
      </w:r>
    </w:p>
    <w:p>
      <w:pPr>
        <w:pStyle w:val="T1"/>
        <w:rPr>
          <w:lang w:val="nl-NL"/>
        </w:rPr>
      </w:pPr>
      <w:r>
        <w:rPr>
          <w:lang w:val="nl-NL"/>
        </w:rPr>
        <w:t>ca 1968</w:t>
      </w:r>
    </w:p>
    <w:p>
      <w:pPr>
        <w:pStyle w:val="T1"/>
        <w:rPr>
          <w:lang w:val="nl-NL"/>
        </w:rPr>
      </w:pPr>
      <w:r>
        <w:rPr>
          <w:lang w:val="nl-NL"/>
        </w:rPr>
        <w:t>.</w:t>
        <w:tab/>
        <w:t>kapel buiten gebruik gesteld</w:t>
      </w:r>
    </w:p>
    <w:p>
      <w:pPr>
        <w:pStyle w:val="T1"/>
        <w:rPr>
          <w:lang w:val="nl-NL"/>
        </w:rPr>
      </w:pPr>
      <w:r>
        <w:rPr>
          <w:lang w:val="nl-NL"/>
        </w:rPr>
      </w:r>
    </w:p>
    <w:p>
      <w:pPr>
        <w:pStyle w:val="T1"/>
        <w:rPr>
          <w:lang w:val="nl-NL"/>
        </w:rPr>
      </w:pPr>
      <w:r>
        <w:rPr>
          <w:lang w:val="nl-NL"/>
        </w:rPr>
        <w:t>J. Stevens 1976</w:t>
      </w:r>
    </w:p>
    <w:p>
      <w:pPr>
        <w:pStyle w:val="T1"/>
        <w:rPr>
          <w:lang w:val="nl-NL"/>
        </w:rPr>
      </w:pPr>
      <w:r>
        <w:rPr>
          <w:lang w:val="nl-NL"/>
        </w:rPr>
        <w:t>.</w:t>
        <w:tab/>
        <w:t>orgel overgeplaatst naar Haarlem, R.K. Kerk H.H. Elisabeth en Barbara</w:t>
      </w:r>
    </w:p>
    <w:p>
      <w:pPr>
        <w:pStyle w:val="T1"/>
        <w:rPr>
          <w:lang w:val="nl-NL"/>
        </w:rPr>
      </w:pPr>
      <w:r>
        <w:rPr>
          <w:lang w:val="nl-NL"/>
        </w:rPr>
        <w:t>.</w:t>
        <w:tab/>
        <w:t>orgelkas van achterwand voorzien, hersteld en opnieuw in de was gezet</w:t>
      </w:r>
    </w:p>
    <w:p>
      <w:pPr>
        <w:pStyle w:val="T1"/>
        <w:rPr>
          <w:bCs/>
          <w:lang w:val="nl-NL"/>
        </w:rPr>
      </w:pPr>
      <w:r>
        <w:rPr>
          <w:bCs/>
          <w:lang w:val="nl-NL"/>
        </w:rPr>
      </w:r>
    </w:p>
    <w:p>
      <w:pPr>
        <w:pStyle w:val="T1"/>
        <w:rPr>
          <w:bCs/>
          <w:lang w:val="nl-NL"/>
        </w:rPr>
      </w:pPr>
      <w:r>
        <w:rPr>
          <w:bCs/>
          <w:lang w:val="nl-NL"/>
        </w:rPr>
        <w:t>Flentrop Orgelbouw 1996</w:t>
      </w:r>
    </w:p>
    <w:p>
      <w:pPr>
        <w:pStyle w:val="T1"/>
        <w:rPr>
          <w:bCs/>
          <w:lang w:val="nl-NL"/>
        </w:rPr>
      </w:pPr>
      <w:r>
        <w:rPr>
          <w:bCs/>
          <w:lang w:val="nl-NL"/>
        </w:rPr>
        <w:tab/>
        <w:t>orgel overgeplaatst naar Haarlem, R.K. Kerk H. Adelbertus</w:t>
      </w:r>
    </w:p>
    <w:p>
      <w:pPr>
        <w:pStyle w:val="T1"/>
        <w:rPr>
          <w:bCs/>
          <w:lang w:val="nl-NL"/>
        </w:rPr>
      </w:pPr>
      <w:r>
        <w:rPr>
          <w:bCs/>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grand orgue, récit, pédale</w:t>
      </w:r>
    </w:p>
    <w:p>
      <w:pPr>
        <w:pStyle w:val="T1"/>
        <w:rPr>
          <w:lang w:val="nl-NL"/>
        </w:rPr>
      </w:pPr>
      <w:r>
        <w:rPr>
          <w:lang w:val="nl-NL"/>
        </w:rPr>
      </w:r>
    </w:p>
    <w:p>
      <w:pPr>
        <w:pStyle w:val="T1"/>
        <w:rPr/>
      </w:pPr>
      <w:r>
        <w:rPr/>
        <w:t>Dispositie</w:t>
      </w:r>
    </w:p>
    <w:tbl>
      <w:tblPr>
        <w:tblW w:w="7090" w:type="dxa"/>
        <w:jc w:val="start"/>
        <w:tblInd w:w="-70" w:type="dxa"/>
        <w:tblLayout w:type="fixed"/>
        <w:tblCellMar>
          <w:top w:w="0" w:type="dxa"/>
          <w:start w:w="70" w:type="dxa"/>
          <w:bottom w:w="0" w:type="dxa"/>
          <w:end w:w="70" w:type="dxa"/>
        </w:tblCellMar>
      </w:tblPr>
      <w:tblGrid>
        <w:gridCol w:w="1597"/>
        <w:gridCol w:w="540"/>
        <w:gridCol w:w="2253"/>
        <w:gridCol w:w="540"/>
        <w:gridCol w:w="1440"/>
        <w:gridCol w:w="720"/>
      </w:tblGrid>
      <w:tr>
        <w:trPr/>
        <w:tc>
          <w:tcPr>
            <w:tcW w:w="1597" w:type="dxa"/>
            <w:tcBorders/>
          </w:tcPr>
          <w:p>
            <w:pPr>
              <w:pStyle w:val="T4dispositie"/>
              <w:rPr>
                <w:i/>
                <w:i/>
                <w:iCs/>
                <w:lang w:val="nl-NL"/>
              </w:rPr>
            </w:pPr>
            <w:r>
              <w:rPr>
                <w:i/>
                <w:iCs/>
                <w:lang w:val="nl-NL"/>
              </w:rPr>
              <w:t>Grand Orgue (I)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Montre</w:t>
            </w:r>
          </w:p>
          <w:p>
            <w:pPr>
              <w:pStyle w:val="T4dispositie"/>
              <w:rPr>
                <w:lang w:val="nl-NL"/>
              </w:rPr>
            </w:pPr>
            <w:r>
              <w:rPr>
                <w:lang w:val="nl-NL"/>
              </w:rPr>
              <w:t>Bourdon</w:t>
            </w:r>
          </w:p>
          <w:p>
            <w:pPr>
              <w:pStyle w:val="T4dispositie"/>
              <w:rPr>
                <w:lang w:val="nl-NL"/>
              </w:rPr>
            </w:pPr>
            <w:r>
              <w:rPr>
                <w:lang w:val="nl-NL"/>
              </w:rPr>
              <w:t>Gambe</w:t>
            </w:r>
          </w:p>
          <w:p>
            <w:pPr>
              <w:pStyle w:val="T4dispositie"/>
              <w:rPr>
                <w:lang w:val="nl-NL"/>
              </w:rPr>
            </w:pPr>
            <w:r>
              <w:rPr>
                <w:lang w:val="nl-NL"/>
              </w:rPr>
              <w:t>Flûte harmonique</w:t>
            </w:r>
          </w:p>
          <w:p>
            <w:pPr>
              <w:pStyle w:val="T4dispositie"/>
              <w:rPr>
                <w:lang w:val="nl-NL"/>
              </w:rPr>
            </w:pPr>
            <w:r>
              <w:rPr>
                <w:lang w:val="nl-NL"/>
              </w:rPr>
              <w:t>Prestant</w:t>
            </w:r>
          </w:p>
          <w:p>
            <w:pPr>
              <w:pStyle w:val="T4dispositie"/>
              <w:rPr>
                <w:lang w:val="nl-NL"/>
              </w:rPr>
            </w:pPr>
            <w:r>
              <w:rPr>
                <w:lang w:val="nl-NL"/>
              </w:rPr>
              <w:t>Trompette</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8'</w:t>
            </w:r>
          </w:p>
        </w:tc>
        <w:tc>
          <w:tcPr>
            <w:tcW w:w="2253" w:type="dxa"/>
            <w:tcBorders/>
          </w:tcPr>
          <w:p>
            <w:pPr>
              <w:pStyle w:val="T4dispositie"/>
              <w:rPr>
                <w:i/>
                <w:i/>
                <w:iCs/>
                <w:lang w:val="nl-NL"/>
              </w:rPr>
            </w:pPr>
            <w:r>
              <w:rPr>
                <w:i/>
                <w:iCs/>
                <w:lang w:val="nl-NL"/>
              </w:rPr>
              <w:t>Récit (II)</w:t>
            </w:r>
          </w:p>
          <w:p>
            <w:pPr>
              <w:pStyle w:val="T4dispositie"/>
              <w:rPr>
                <w:lang w:val="nl-NL"/>
              </w:rPr>
            </w:pPr>
            <w:r>
              <w:rPr>
                <w:lang w:val="nl-NL"/>
              </w:rPr>
              <w:t>7 stemmen</w:t>
            </w:r>
          </w:p>
          <w:p>
            <w:pPr>
              <w:pStyle w:val="T4dispositie"/>
              <w:rPr>
                <w:lang w:val="nl-NL"/>
              </w:rPr>
            </w:pPr>
            <w:r>
              <w:rPr>
                <w:lang w:val="nl-NL"/>
              </w:rPr>
            </w:r>
          </w:p>
          <w:p>
            <w:pPr>
              <w:pStyle w:val="T4dispositie"/>
              <w:rPr>
                <w:bCs/>
                <w:lang w:val="nl-NL"/>
              </w:rPr>
            </w:pPr>
            <w:r>
              <w:rPr>
                <w:bCs/>
                <w:lang w:val="nl-NL"/>
              </w:rPr>
              <w:t>Hohlflûte</w:t>
            </w:r>
          </w:p>
          <w:p>
            <w:pPr>
              <w:pStyle w:val="T4dispositie"/>
              <w:rPr>
                <w:lang w:val="nl-NL"/>
              </w:rPr>
            </w:pPr>
            <w:r>
              <w:rPr>
                <w:lang w:val="nl-NL"/>
              </w:rPr>
              <w:t>Bourdon</w:t>
            </w:r>
          </w:p>
          <w:p>
            <w:pPr>
              <w:pStyle w:val="T4dispositie"/>
              <w:rPr>
                <w:lang w:val="nl-NL"/>
              </w:rPr>
            </w:pPr>
            <w:r>
              <w:rPr>
                <w:lang w:val="nl-NL"/>
              </w:rPr>
              <w:t>Salicional</w:t>
            </w:r>
          </w:p>
          <w:p>
            <w:pPr>
              <w:pStyle w:val="T4dispositie"/>
              <w:rPr>
                <w:lang w:val="nl-NL"/>
              </w:rPr>
            </w:pPr>
            <w:r>
              <w:rPr>
                <w:lang w:val="nl-NL"/>
              </w:rPr>
              <w:t>Voix céleste</w:t>
            </w:r>
          </w:p>
          <w:p>
            <w:pPr>
              <w:pStyle w:val="T4dispositie"/>
              <w:rPr>
                <w:lang w:val="nl-NL"/>
              </w:rPr>
            </w:pPr>
            <w:r>
              <w:rPr>
                <w:lang w:val="nl-NL"/>
              </w:rPr>
              <w:t>Flûte</w:t>
            </w:r>
          </w:p>
          <w:p>
            <w:pPr>
              <w:pStyle w:val="T4dispositie"/>
              <w:rPr>
                <w:lang w:val="nl-NL"/>
              </w:rPr>
            </w:pPr>
            <w:r>
              <w:rPr>
                <w:lang w:val="nl-NL"/>
              </w:rPr>
              <w:t>Trompette harmonique</w:t>
            </w:r>
          </w:p>
          <w:p>
            <w:pPr>
              <w:pStyle w:val="T4dispositie"/>
              <w:rPr>
                <w:lang w:val="nl-NL"/>
              </w:rPr>
            </w:pPr>
            <w:r>
              <w:rPr>
                <w:lang w:val="nl-NL"/>
              </w:rPr>
              <w:t>Basson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8'</w:t>
            </w:r>
          </w:p>
          <w:p>
            <w:pPr>
              <w:pStyle w:val="T4dispositie"/>
              <w:rPr>
                <w:lang w:val="nl-NL"/>
              </w:rPr>
            </w:pPr>
            <w:r>
              <w:rPr>
                <w:lang w:val="nl-NL"/>
              </w:rPr>
              <w:t>8'</w:t>
            </w:r>
          </w:p>
        </w:tc>
        <w:tc>
          <w:tcPr>
            <w:tcW w:w="1440" w:type="dxa"/>
            <w:tcBorders/>
          </w:tcPr>
          <w:p>
            <w:pPr>
              <w:pStyle w:val="T4dispositie"/>
              <w:rPr>
                <w:i/>
                <w:i/>
                <w:iCs/>
                <w:lang w:val="nl-NL"/>
              </w:rPr>
            </w:pPr>
            <w:r>
              <w:rPr>
                <w:i/>
                <w:iCs/>
                <w:lang w:val="nl-NL"/>
              </w:rPr>
              <w:t>Pédale</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Contrebasse</w:t>
            </w:r>
          </w:p>
          <w:p>
            <w:pPr>
              <w:pStyle w:val="T4dispositie"/>
              <w:rPr>
                <w:lang w:val="nl-NL"/>
              </w:rPr>
            </w:pPr>
            <w:r>
              <w:rPr>
                <w:lang w:val="nl-NL"/>
              </w:rPr>
              <w:t>Sousbasse</w:t>
            </w:r>
          </w:p>
          <w:p>
            <w:pPr>
              <w:pStyle w:val="T4dispositie"/>
              <w:rPr>
                <w:bCs/>
                <w:lang w:val="nl-NL"/>
              </w:rPr>
            </w:pPr>
            <w:r>
              <w:rPr>
                <w:bCs/>
                <w:lang w:val="nl-NL"/>
              </w:rPr>
              <w:t>Basse</w:t>
            </w:r>
          </w:p>
        </w:tc>
        <w:tc>
          <w:tcPr>
            <w:tcW w:w="720" w:type="dxa"/>
            <w:tcBorders/>
          </w:tcPr>
          <w:p>
            <w:pPr>
              <w:pStyle w:val="T4dispositie"/>
              <w:snapToGrid w:val="false"/>
              <w:rPr>
                <w:bCs/>
                <w:lang w:val="nl-NL"/>
              </w:rPr>
            </w:pPr>
            <w:r>
              <w:rPr>
                <w:bCs/>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 tr</w:t>
            </w:r>
          </w:p>
          <w:p>
            <w:pPr>
              <w:pStyle w:val="T4dispositie"/>
              <w:rPr>
                <w:lang w:val="nl-NL"/>
              </w:rPr>
            </w:pPr>
            <w:r>
              <w:rPr>
                <w:lang w:val="nl-NL"/>
              </w:rPr>
              <w:t xml:space="preserve">8' </w:t>
            </w:r>
            <w:r>
              <w:rPr>
                <w:bCs/>
                <w:lang w:val="nl-NL"/>
              </w:rPr>
              <w:t>tr</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koppelingen GO-Réc, GO-Ped, Réc-Ped</w:t>
      </w:r>
    </w:p>
    <w:p>
      <w:pPr>
        <w:pStyle w:val="T1"/>
        <w:rPr>
          <w:lang w:val="nl-NL"/>
        </w:rPr>
      </w:pPr>
      <w:r>
        <w:rPr>
          <w:lang w:val="nl-NL"/>
        </w:rPr>
        <w:t>trémolo</w:t>
      </w:r>
    </w:p>
    <w:p>
      <w:pPr>
        <w:pStyle w:val="T1"/>
        <w:rPr>
          <w:lang w:val="nl-NL"/>
        </w:rPr>
      </w:pPr>
      <w:r>
        <w:rPr>
          <w:lang w:val="nl-NL"/>
        </w:rPr>
        <w:t>crescendo general</w:t>
      </w:r>
    </w:p>
    <w:p>
      <w:pPr>
        <w:pStyle w:val="T1"/>
        <w:rPr>
          <w:lang w:val="nl-NL"/>
        </w:rPr>
      </w:pPr>
      <w:r>
        <w:rPr>
          <w:lang w:val="nl-NL"/>
        </w:rPr>
        <w:t>expression (trede zwelkast)</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w:t>
      </w:r>
      <w:r>
        <w:rPr>
          <w:bCs/>
          <w:lang w:val="nl-NL"/>
        </w:rPr>
        <w:t xml:space="preserve">440 </w:t>
      </w:r>
      <w:r>
        <w:rPr>
          <w:lang w:val="nl-NL"/>
        </w:rPr>
        <w:t>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C-c</w:t>
      </w:r>
      <w:r>
        <w:rPr>
          <w:vertAlign w:val="superscript"/>
          <w:lang w:val="nl-NL"/>
        </w:rPr>
        <w:t>4</w:t>
      </w:r>
    </w:p>
    <w:p>
      <w:pPr>
        <w:pStyle w:val="T1"/>
        <w:rPr>
          <w:lang w:val="nl-NL"/>
        </w:rPr>
      </w:pPr>
      <w:r>
        <w:rPr>
          <w:lang w:val="nl-NL"/>
        </w:rPr>
        <w:t>Pedaalomvang</w:t>
      </w:r>
    </w:p>
    <w:p>
      <w:pPr>
        <w:pStyle w:val="T1"/>
        <w:rPr/>
      </w:pPr>
      <w:r>
        <w:rPr>
          <w:lang w:val="nl-NL"/>
        </w:rPr>
        <w:t>C-d</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 (1894)</w:t>
      </w:r>
    </w:p>
    <w:p>
      <w:pPr>
        <w:pStyle w:val="T1"/>
        <w:rPr>
          <w:lang w:val="nl-NL"/>
        </w:rPr>
      </w:pPr>
      <w:r>
        <w:rPr>
          <w:lang w:val="nl-NL"/>
        </w:rPr>
        <w:t>Winddruk</w:t>
      </w:r>
    </w:p>
    <w:p>
      <w:pPr>
        <w:pStyle w:val="T1"/>
        <w:rPr>
          <w:bCs/>
          <w:lang w:val="nl-NL"/>
        </w:rPr>
      </w:pPr>
      <w:r>
        <w:rPr>
          <w:bCs/>
          <w:lang w:val="nl-NL"/>
        </w:rPr>
        <w:t>GO en Péd 98 mm, Réc 88 mm</w:t>
      </w:r>
    </w:p>
    <w:p>
      <w:pPr>
        <w:pStyle w:val="T1"/>
        <w:rPr>
          <w:bCs/>
          <w:lang w:val="nl-NL"/>
        </w:rPr>
      </w:pPr>
      <w:r>
        <w:rPr>
          <w:bCs/>
          <w:lang w:val="nl-NL"/>
        </w:rPr>
      </w:r>
    </w:p>
    <w:p>
      <w:pPr>
        <w:pStyle w:val="T1"/>
        <w:rPr>
          <w:lang w:val="nl-NL"/>
        </w:rPr>
      </w:pPr>
      <w:r>
        <w:rPr>
          <w:lang w:val="nl-NL"/>
        </w:rPr>
        <w:t>Plaats klaviatuur</w:t>
      </w:r>
    </w:p>
    <w:p>
      <w:pPr>
        <w:pStyle w:val="T1"/>
        <w:rPr>
          <w:lang w:val="nl-NL"/>
        </w:rPr>
      </w:pPr>
      <w:r>
        <w:rPr>
          <w:lang w:val="nl-NL"/>
        </w:rPr>
        <w:t>vrijstaande speeltafel met rug naar het orgel</w:t>
      </w:r>
    </w:p>
    <w:p>
      <w:pPr>
        <w:pStyle w:val="T1"/>
        <w:rPr>
          <w:lang w:val="nl-NL"/>
        </w:rPr>
      </w:pPr>
      <w:r>
        <w:rPr>
          <w:lang w:val="nl-NL"/>
        </w:rPr>
      </w:r>
    </w:p>
    <w:p>
      <w:pPr>
        <w:pStyle w:val="Heading2"/>
        <w:rPr>
          <w:i w:val="false"/>
          <w:i w:val="false"/>
          <w:iCs/>
        </w:rPr>
      </w:pPr>
      <w:r>
        <w:rPr>
          <w:i w:val="false"/>
          <w:iCs/>
        </w:rPr>
        <w:t>Bijzonderheden</w:t>
      </w:r>
    </w:p>
    <w:p>
      <w:pPr>
        <w:pStyle w:val="T1"/>
        <w:rPr>
          <w:i/>
          <w:i/>
          <w:iCs/>
          <w:lang w:val="nl-NL"/>
        </w:rPr>
      </w:pPr>
      <w:r>
        <w:rPr>
          <w:i/>
          <w:iCs/>
          <w:lang w:val="nl-NL"/>
        </w:rPr>
      </w:r>
    </w:p>
    <w:p>
      <w:pPr>
        <w:pStyle w:val="T1"/>
        <w:jc w:val="start"/>
        <w:rPr>
          <w:lang w:val="nl-NL"/>
        </w:rPr>
      </w:pPr>
      <w:r>
        <w:rPr>
          <w:lang w:val="nl-NL"/>
        </w:rPr>
        <w:t>Het instrument heeft kegelladen met mechanische toetstractuur en pneumatische registertractuur.</w:t>
      </w:r>
    </w:p>
    <w:p>
      <w:pPr>
        <w:pStyle w:val="T1"/>
        <w:jc w:val="start"/>
        <w:rPr>
          <w:bCs/>
          <w:lang w:val="nl-NL"/>
        </w:rPr>
      </w:pPr>
      <w:r>
        <w:rPr>
          <w:bCs/>
          <w:lang w:val="nl-NL"/>
        </w:rPr>
        <w:t>De originele magazijnbalg met schepbalgen en trapinstallatie ligt in de onderkas.</w:t>
      </w:r>
    </w:p>
    <w:p>
      <w:pPr>
        <w:pStyle w:val="T1"/>
        <w:jc w:val="start"/>
        <w:rPr>
          <w:bCs/>
          <w:lang w:val="nl-NL"/>
        </w:rPr>
      </w:pPr>
      <w:r>
        <w:rPr>
          <w:lang w:val="nl-NL"/>
        </w:rPr>
        <w:t>De registertrekkers zijn in een horizontale rij boven het tweede manuaal aangebracht. De koppelingen en overige speelhulpen zijn uitgevoerd als treden. De ondertoetsen van de handklavieren zijn belegd met ivoor.</w:t>
      </w:r>
    </w:p>
    <w:p>
      <w:pPr>
        <w:pStyle w:val="T1"/>
        <w:jc w:val="start"/>
        <w:rPr/>
      </w:pPr>
      <w:r>
        <w:rPr>
          <w:bCs/>
          <w:lang w:val="nl-NL"/>
        </w:rPr>
        <w:t>C-cis</w:t>
      </w:r>
      <w:r>
        <w:rPr>
          <w:bCs/>
          <w:vertAlign w:val="superscript"/>
          <w:lang w:val="nl-NL"/>
        </w:rPr>
        <w:t>1</w:t>
      </w:r>
      <w:r>
        <w:rPr>
          <w:bCs/>
          <w:lang w:val="nl-NL"/>
        </w:rPr>
        <w:t xml:space="preserve"> van de Bourdon 16</w:t>
      </w:r>
      <w:r>
        <w:rPr>
          <w:lang w:val="nl-NL"/>
        </w:rPr>
        <w:t>'</w:t>
      </w:r>
      <w:r>
        <w:rPr>
          <w:bCs/>
          <w:lang w:val="nl-NL"/>
        </w:rPr>
        <w:t xml:space="preserve"> zijn van grenen, het vervolg is van metaal (gedekt). Het pijpwerk van de Montre 8</w:t>
      </w:r>
      <w:r>
        <w:rPr>
          <w:lang w:val="nl-NL"/>
        </w:rPr>
        <w:t>'</w:t>
      </w:r>
      <w:r>
        <w:rPr>
          <w:bCs/>
          <w:lang w:val="nl-NL"/>
        </w:rPr>
        <w:t xml:space="preserve"> staat van C-A in de zijtorens van het front, de rest staat op de lade en is voorzien van expressions. C-cis van de Bourdon 8</w:t>
      </w:r>
      <w:r>
        <w:rPr>
          <w:lang w:val="nl-NL"/>
        </w:rPr>
        <w:t>'</w:t>
      </w:r>
      <w:r>
        <w:rPr>
          <w:bCs/>
          <w:lang w:val="nl-NL"/>
        </w:rPr>
        <w:t xml:space="preserve"> zijn van grenen, het vervolg is van metaal (gedekt). De Gambe 8</w:t>
      </w:r>
      <w:r>
        <w:rPr>
          <w:lang w:val="nl-NL"/>
        </w:rPr>
        <w:t>'</w:t>
      </w:r>
      <w:r>
        <w:rPr>
          <w:bCs/>
          <w:lang w:val="nl-NL"/>
        </w:rPr>
        <w:t xml:space="preserve"> is geheel voorzien van expressions; vijf pijpen (C, Fs, G, A, H) staan in de middentoren van het front. De tussenvelden van het front worden gevormd door de pijpen voor C-g van de Prestant 4</w:t>
      </w:r>
      <w:r>
        <w:rPr>
          <w:lang w:val="nl-NL"/>
        </w:rPr>
        <w:t>'</w:t>
      </w:r>
      <w:r>
        <w:rPr>
          <w:bCs/>
          <w:lang w:val="nl-NL"/>
        </w:rPr>
        <w:t>, het overige pijpwerk van dit register staat op de lade en is voorzien van expressions. Van de Trompet 8</w:t>
      </w:r>
      <w:r>
        <w:rPr>
          <w:lang w:val="nl-NL"/>
        </w:rPr>
        <w:t>'</w:t>
      </w:r>
      <w:r>
        <w:rPr>
          <w:bCs/>
          <w:lang w:val="nl-NL"/>
        </w:rPr>
        <w:t xml:space="preserve"> zijn de tonen gis</w:t>
      </w:r>
      <w:r>
        <w:rPr>
          <w:bCs/>
          <w:vertAlign w:val="superscript"/>
          <w:lang w:val="nl-NL"/>
        </w:rPr>
        <w:t>3</w:t>
      </w:r>
      <w:r>
        <w:rPr>
          <w:bCs/>
          <w:lang w:val="nl-NL"/>
        </w:rPr>
        <w:t>-c</w:t>
      </w:r>
      <w:r>
        <w:rPr>
          <w:bCs/>
          <w:vertAlign w:val="superscript"/>
          <w:lang w:val="nl-NL"/>
        </w:rPr>
        <w:t>4</w:t>
      </w:r>
      <w:r>
        <w:rPr>
          <w:bCs/>
          <w:lang w:val="nl-NL"/>
        </w:rPr>
        <w:t xml:space="preserve"> uitgevoerd als labiaalpijpen.</w:t>
      </w:r>
    </w:p>
    <w:p>
      <w:pPr>
        <w:pStyle w:val="T1"/>
        <w:jc w:val="start"/>
        <w:rPr/>
      </w:pPr>
      <w:r>
        <w:rPr>
          <w:bCs/>
          <w:lang w:val="nl-NL"/>
        </w:rPr>
        <w:t>C-f</w:t>
      </w:r>
      <w:r>
        <w:rPr>
          <w:bCs/>
          <w:vertAlign w:val="superscript"/>
          <w:lang w:val="nl-NL"/>
        </w:rPr>
        <w:t>1</w:t>
      </w:r>
      <w:r>
        <w:rPr>
          <w:bCs/>
          <w:lang w:val="nl-NL"/>
        </w:rPr>
        <w:t xml:space="preserve"> van de Hohlflûte 8</w:t>
      </w:r>
      <w:r>
        <w:rPr>
          <w:lang w:val="nl-NL"/>
        </w:rPr>
        <w:t>'</w:t>
      </w:r>
      <w:r>
        <w:rPr>
          <w:bCs/>
          <w:lang w:val="nl-NL"/>
        </w:rPr>
        <w:t xml:space="preserve"> is van hout, het overige pijpwerk is trechtervormig en van metaal. De Salicional 8</w:t>
      </w:r>
      <w:r>
        <w:rPr>
          <w:lang w:val="nl-NL"/>
        </w:rPr>
        <w:t>'</w:t>
      </w:r>
      <w:r>
        <w:rPr>
          <w:bCs/>
          <w:lang w:val="nl-NL"/>
        </w:rPr>
        <w:t xml:space="preserve"> is geheel voorzien van expressions, C-cis staan buiten de zwelkast opgesteld. De tonen gis</w:t>
      </w:r>
      <w:r>
        <w:rPr>
          <w:bCs/>
          <w:vertAlign w:val="superscript"/>
          <w:lang w:val="nl-NL"/>
        </w:rPr>
        <w:t>3</w:t>
      </w:r>
      <w:r>
        <w:rPr>
          <w:bCs/>
          <w:lang w:val="nl-NL"/>
        </w:rPr>
        <w:t>-c</w:t>
      </w:r>
      <w:r>
        <w:rPr>
          <w:bCs/>
          <w:vertAlign w:val="superscript"/>
          <w:lang w:val="nl-NL"/>
        </w:rPr>
        <w:t>4</w:t>
      </w:r>
      <w:r>
        <w:rPr>
          <w:bCs/>
          <w:lang w:val="nl-NL"/>
        </w:rPr>
        <w:t xml:space="preserve"> van de Trompette harmonique 8</w:t>
      </w:r>
      <w:r>
        <w:rPr>
          <w:lang w:val="nl-NL"/>
        </w:rPr>
        <w:t>'</w:t>
      </w:r>
      <w:r>
        <w:rPr>
          <w:bCs/>
          <w:lang w:val="nl-NL"/>
        </w:rPr>
        <w:t xml:space="preserve"> en Basson 8</w:t>
      </w:r>
      <w:r>
        <w:rPr>
          <w:lang w:val="nl-NL"/>
        </w:rPr>
        <w:t>'</w:t>
      </w:r>
      <w:r>
        <w:rPr>
          <w:bCs/>
          <w:lang w:val="nl-NL"/>
        </w:rPr>
        <w:t xml:space="preserve"> zijn uitgevoerd als labialen.</w:t>
      </w:r>
    </w:p>
    <w:p>
      <w:pPr>
        <w:pStyle w:val="T1"/>
        <w:jc w:val="start"/>
        <w:rPr/>
      </w:pPr>
      <w:r>
        <w:rPr>
          <w:bCs/>
          <w:lang w:val="nl-NL"/>
        </w:rPr>
        <w:t>De Sousbasse 16</w:t>
      </w:r>
      <w:r>
        <w:rPr>
          <w:lang w:val="nl-NL"/>
        </w:rPr>
        <w:t>'</w:t>
      </w:r>
      <w:r>
        <w:rPr>
          <w:bCs/>
          <w:lang w:val="nl-NL"/>
        </w:rPr>
        <w:t xml:space="preserve"> en Basse 8</w:t>
      </w:r>
      <w:r>
        <w:rPr>
          <w:lang w:val="nl-NL"/>
        </w:rPr>
        <w:t>'</w:t>
      </w:r>
      <w:r>
        <w:rPr>
          <w:bCs/>
          <w:lang w:val="nl-NL"/>
        </w:rPr>
        <w:t xml:space="preserve"> van het Ped zijn transmissies van respectievelijk de Bourdon 16</w:t>
      </w:r>
      <w:r>
        <w:rPr>
          <w:lang w:val="nl-NL"/>
        </w:rPr>
        <w:t>'</w:t>
      </w:r>
      <w:r>
        <w:rPr>
          <w:bCs/>
          <w:lang w:val="nl-NL"/>
        </w:rPr>
        <w:t xml:space="preserve"> en Flûte harmonique 8</w:t>
      </w:r>
      <w:r>
        <w:rPr>
          <w:lang w:val="nl-NL"/>
        </w:rPr>
        <w:t>'</w:t>
      </w:r>
      <w:r>
        <w:rPr>
          <w:bCs/>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2007-02-13T13:32:00Z</dcterms:created>
  <dc:creator>WS1</dc:creator>
  <dc:description/>
  <dc:language>en-US</dc:language>
  <cp:lastModifiedBy>WS1</cp:lastModifiedBy>
  <cp:lastPrinted>2006-07-18T14:14:00Z</cp:lastPrinted>
  <dcterms:modified xsi:type="dcterms:W3CDTF">2007-02-13T13:32:00Z</dcterms:modified>
  <cp:revision>2</cp:revision>
  <dc:subject/>
  <dc:title>Schagen / 1879</dc:title>
</cp:coreProperties>
</file>