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Hoorn (Terschelling)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romaanse kerk uit de 13e eeuw die in de 15e eeuw werd verhoogd en waarbij de oorspronkelijke koepelvormige gewelven werden vervangen door een houten tongewelf. De toren dateert in zijn huidige vorm uit 1848. Avondmaalstafel uit omstreeks 1610, preekstoel uit ca 1660 en een doophek uit 1761.</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op het Kruse-orgel te Nijeholtpade (1883, deel 1878-1886, 264-265), hier net als in Hoogezand (1888) en Oostermeer (1888) met vlakke tussenvelden. De veranderingen in proporties, doorgevoerd in de orgels van Hoogezand en Oostermeer, zijn hier weer ongedaan gemaakt: de tussenvelden zijn iets smaller geworden en de scheiding tussen de tussenvelden is hoger komen te liggen. De variant Hoogezand / Oostermeer keerde hierna niet meer in het oeuvre van Kruse terug.</w:t>
      </w:r>
    </w:p>
    <w:p>
      <w:pPr>
        <w:pStyle w:val="T2Kunst"/>
        <w:jc w:val="start"/>
        <w:rPr>
          <w:lang w:val="nl-NL"/>
        </w:rPr>
      </w:pPr>
      <w:r>
        <w:rPr>
          <w:lang w:val="nl-NL"/>
        </w:rPr>
        <w:t>Het blinderingssnijwerk is ten opzichte van Nijeholtpade in details veranderd. Zo zijn de bovenblinderingen van de torens S- en C-ranken die zich vanuit de hoeken vertakken en in het midden door een afhangende bloemkelk van elkaar worden gescheiden. Ook heeft het snijwerk direct onder de grote C-voluten, die de tussenvelden geheel bovenaan afsluiten, de vorm van gebogen bladslingers. De consoles bestaan weer uit bladwerk en granaatappels, zoals in Nijeholtpade. Meteen daarboven een brede lijst, bestaande uit een aantal verspringende smalle banden boven elkaar, die met verkroppingen over de hele breedte van het orgel doorloopt. Bij Kruses eerdere orgels was dit slechts een reguliere geprofileerde lijst. De vleugelstukken zijn identiek aan die te Oostermeer. Op de zijtorens opzetstukken, opgebouwd uit een centrale palmet met spitse bladeren, aan de voet waaruit twee bloemkelken ontspringen, bekroond door C-voluten. Het opzetstuk op de middentoren bestaat uit een lier, geflankeerd door zich splitsende ranken.</w:t>
      </w:r>
    </w:p>
    <w:p>
      <w:pPr>
        <w:pStyle w:val="T2Kunst"/>
        <w:jc w:val="start"/>
        <w:rPr>
          <w:lang w:val="nl-NL"/>
        </w:rPr>
      </w:pPr>
      <w:r>
        <w:rPr>
          <w:lang w:val="nl-NL"/>
        </w:rPr>
        <w:t>Kruse bleef dit type orgel, inclusief de vormgeving van grote delen van het snijwerk, vele malen herhalen.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Fotokaart </w:t>
      </w:r>
      <w:r>
        <w:rPr>
          <w:i/>
          <w:iCs/>
          <w:lang w:val="nl-NL"/>
        </w:rPr>
        <w:t>De Mixtuur</w:t>
      </w:r>
      <w:r>
        <w:rPr>
          <w:lang w:val="nl-NL"/>
        </w:rPr>
        <w:t>.</w:t>
      </w:r>
    </w:p>
    <w:p>
      <w:pPr>
        <w:pStyle w:val="T3Lit"/>
        <w:rPr/>
      </w:pPr>
      <w:r>
        <w:rPr>
          <w:lang w:val="nl-NL"/>
        </w:rPr>
        <w:t xml:space="preserve">Jan Jongepier, </w:t>
      </w:r>
      <w:r>
        <w:rPr>
          <w:i/>
          <w:iCs/>
          <w:lang w:val="nl-NL"/>
        </w:rPr>
        <w:t>Vijf eeuwen Friese orgelbouw.</w:t>
      </w:r>
      <w:r>
        <w:rPr>
          <w:lang w:val="nl-NL"/>
        </w:rPr>
        <w:t xml:space="preserve"> Leeuwarden, 2004, 117, 192.</w:t>
      </w:r>
    </w:p>
    <w:p>
      <w:pPr>
        <w:pStyle w:val="T3Lit"/>
        <w:rPr/>
      </w:pPr>
      <w:r>
        <w:rPr>
          <w:szCs w:val="24"/>
          <w:lang w:val="nl-NL"/>
        </w:rPr>
        <w:t xml:space="preserve">H.A. Stiphout, F.A. Wiersma, </w:t>
      </w:r>
      <w:r>
        <w:rPr>
          <w:i/>
          <w:iCs/>
          <w:szCs w:val="24"/>
          <w:lang w:val="nl-NL"/>
        </w:rPr>
        <w:t>Monument Ontmoetingsplaats Bezinningsruimte, Kerk Hoorn Terschelling</w:t>
      </w:r>
      <w:r>
        <w:rPr>
          <w:szCs w:val="24"/>
          <w:lang w:val="nl-NL"/>
        </w:rPr>
        <w:t>. Terschelling, z.j., 26.</w:t>
      </w:r>
    </w:p>
    <w:p>
      <w:pPr>
        <w:pStyle w:val="T3Lit"/>
        <w:rPr/>
      </w:pPr>
      <w:r>
        <w:rPr>
          <w:i/>
          <w:iCs/>
          <w:szCs w:val="24"/>
          <w:lang w:val="nl-NL"/>
        </w:rPr>
        <w:t>100 Jaar orgel 1894-1994.</w:t>
      </w:r>
      <w:r>
        <w:rPr>
          <w:szCs w:val="24"/>
          <w:lang w:val="nl-NL"/>
        </w:rPr>
        <w:t xml:space="preserve"> Terschelling, 1994.</w:t>
      </w:r>
    </w:p>
    <w:p>
      <w:pPr>
        <w:pStyle w:val="T3Lit"/>
        <w:jc w:val="start"/>
        <w:rPr>
          <w:szCs w:val="24"/>
          <w:lang w:val="nl-NL"/>
        </w:rPr>
      </w:pPr>
      <w:r>
        <w:rPr>
          <w:szCs w:val="24"/>
          <w:lang w:val="nl-NL"/>
        </w:rPr>
      </w:r>
    </w:p>
    <w:p>
      <w:pPr>
        <w:pStyle w:val="T3Lit"/>
        <w:jc w:val="star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t>SKKN, dossier Hoorn (Terschelling) NHK, inventarisrapport, 1999.</w:t>
      </w:r>
    </w:p>
    <w:p>
      <w:pPr>
        <w:pStyle w:val="T3Lit"/>
        <w:jc w:val="start"/>
        <w:rPr>
          <w:lang w:val="nl-NL"/>
        </w:rPr>
      </w:pPr>
      <w:r>
        <w:rPr>
          <w:lang w:val="nl-NL"/>
        </w:rPr>
      </w:r>
    </w:p>
    <w:p>
      <w:pPr>
        <w:pStyle w:val="T3Lit"/>
        <w:jc w:val="start"/>
        <w:rPr>
          <w:lang w:val="nl-NL"/>
        </w:rPr>
      </w:pPr>
      <w:r>
        <w:rPr>
          <w:lang w:val="nl-NL"/>
        </w:rPr>
        <w:t>Monumentnummer 35084</w:t>
      </w:r>
    </w:p>
    <w:p>
      <w:pPr>
        <w:pStyle w:val="T3Lit"/>
        <w:jc w:val="start"/>
        <w:rPr>
          <w:lang w:val="nl-NL"/>
        </w:rPr>
      </w:pPr>
      <w:r>
        <w:rPr>
          <w:lang w:val="nl-NL"/>
        </w:rPr>
        <w:t>Orgelnummer 723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Kruse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Bakker &amp; Timmenga 1911</w:t>
      </w:r>
    </w:p>
    <w:p>
      <w:pPr>
        <w:pStyle w:val="T1"/>
        <w:jc w:val="start"/>
        <w:rPr>
          <w:lang w:val="nl-NL"/>
        </w:rPr>
      </w:pPr>
      <w:r>
        <w:rPr>
          <w:lang w:val="nl-NL"/>
        </w:rPr>
        <w:t>.</w:t>
        <w:tab/>
        <w:t>orgel schoongemaakt; frontpijpen gepolijst</w:t>
      </w:r>
    </w:p>
    <w:p>
      <w:pPr>
        <w:pStyle w:val="T1"/>
        <w:jc w:val="start"/>
        <w:rPr>
          <w:lang w:val="nl-NL"/>
        </w:rPr>
      </w:pPr>
      <w:r>
        <w:rPr>
          <w:lang w:val="nl-NL"/>
        </w:rPr>
      </w:r>
    </w:p>
    <w:p>
      <w:pPr>
        <w:pStyle w:val="T1"/>
        <w:jc w:val="start"/>
        <w:rPr>
          <w:lang w:val="nl-NL"/>
        </w:rPr>
      </w:pPr>
      <w:r>
        <w:rPr>
          <w:lang w:val="nl-NL"/>
        </w:rPr>
        <w:t>W. van Leeuwen Gzn 1953</w:t>
      </w:r>
    </w:p>
    <w:p>
      <w:pPr>
        <w:pStyle w:val="T1"/>
        <w:jc w:val="start"/>
        <w:rPr>
          <w:lang w:val="nl-NL"/>
        </w:rPr>
      </w:pPr>
      <w:r>
        <w:rPr>
          <w:lang w:val="nl-NL"/>
        </w:rPr>
        <w:t>.</w:t>
        <w:tab/>
        <w:t>restauratie</w:t>
      </w:r>
    </w:p>
    <w:p>
      <w:pPr>
        <w:pStyle w:val="T1"/>
        <w:jc w:val="start"/>
        <w:rPr>
          <w:lang w:val="nl-NL"/>
        </w:rPr>
      </w:pPr>
      <w:r>
        <w:rPr>
          <w:lang w:val="nl-NL"/>
        </w:rPr>
        <w:t>.</w:t>
        <w:tab/>
        <w:t>nieuw pedaalklavier met grotere omvang (oorspronkelijk C-g) aangebracht</w:t>
      </w:r>
    </w:p>
    <w:p>
      <w:pPr>
        <w:pStyle w:val="T1"/>
        <w:jc w:val="start"/>
        <w:rPr>
          <w:lang w:val="nl-NL"/>
        </w:rPr>
      </w:pPr>
      <w:r>
        <w:rPr>
          <w:lang w:val="nl-NL"/>
        </w:rPr>
        <w:t>.</w:t>
        <w:tab/>
        <w:t>-Trompet 8', + Mixtuur 3-4 st.</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uitgezaagde openingen in panelen zijwanden en achterwand kas aangebracht</w:t>
      </w:r>
    </w:p>
    <w:p>
      <w:pPr>
        <w:pStyle w:val="T1"/>
        <w:jc w:val="start"/>
        <w:rPr>
          <w:lang w:val="nl-NL"/>
        </w:rPr>
      </w:pPr>
      <w:r>
        <w:rPr>
          <w:lang w:val="nl-NL"/>
        </w:rPr>
        <w:t>.</w:t>
        <w:tab/>
        <w:t>beleg op de ondertoetsen van het handklavier vernieuwd</w:t>
      </w:r>
    </w:p>
    <w:p>
      <w:pPr>
        <w:pStyle w:val="T1"/>
        <w:jc w:val="start"/>
        <w:rPr>
          <w:lang w:val="nl-NL"/>
        </w:rPr>
      </w:pPr>
      <w:r>
        <w:rPr>
          <w:lang w:val="nl-NL"/>
        </w:rPr>
        <w:t>.</w:t>
        <w:tab/>
        <w:t>tremulant toegevoegd; ventiel buiten gebruik gesteld</w:t>
      </w:r>
    </w:p>
    <w:p>
      <w:pPr>
        <w:pStyle w:val="T1"/>
        <w:jc w:val="start"/>
        <w:rPr>
          <w:lang w:val="nl-NL"/>
        </w:rPr>
      </w:pPr>
      <w:r>
        <w:rPr>
          <w:lang w:val="nl-NL"/>
        </w:rPr>
      </w:r>
    </w:p>
    <w:p>
      <w:pPr>
        <w:pStyle w:val="T1"/>
        <w:jc w:val="start"/>
        <w:rPr>
          <w:lang w:val="nl-NL"/>
        </w:rPr>
      </w:pPr>
      <w:r>
        <w:rPr>
          <w:lang w:val="nl-NL"/>
        </w:rPr>
        <w:t>Orgelmakerij Bakker &amp; Timmenga 1964</w:t>
      </w:r>
    </w:p>
    <w:p>
      <w:pPr>
        <w:pStyle w:val="T1"/>
        <w:numPr>
          <w:ilvl w:val="0"/>
          <w:numId w:val="2"/>
        </w:numPr>
        <w:jc w:val="start"/>
        <w:rPr>
          <w:lang w:val="nl-NL"/>
        </w:rPr>
      </w:pPr>
      <w:r>
        <w:rPr>
          <w:lang w:val="nl-NL"/>
        </w:rPr>
        <w:t>orgel in verband met kerkrestauratie gedemonteerd en opgeslagen op de zolder van de pastorie</w:t>
      </w:r>
    </w:p>
    <w:p>
      <w:pPr>
        <w:pStyle w:val="T1"/>
        <w:jc w:val="start"/>
        <w:rPr>
          <w:lang w:val="nl-NL"/>
        </w:rPr>
      </w:pPr>
      <w:r>
        <w:rPr>
          <w:lang w:val="nl-NL"/>
        </w:rPr>
      </w:r>
    </w:p>
    <w:p>
      <w:pPr>
        <w:pStyle w:val="T1"/>
        <w:jc w:val="start"/>
        <w:rPr>
          <w:lang w:val="nl-NL"/>
        </w:rPr>
      </w:pPr>
      <w:r>
        <w:rPr>
          <w:lang w:val="nl-NL"/>
        </w:rPr>
        <w:t>Orgelmakerij Bakker &amp; Timmenga 1971</w:t>
      </w:r>
    </w:p>
    <w:p>
      <w:pPr>
        <w:pStyle w:val="T1"/>
        <w:jc w:val="start"/>
        <w:rPr>
          <w:lang w:val="nl-NL"/>
        </w:rPr>
      </w:pPr>
      <w:r>
        <w:rPr>
          <w:lang w:val="nl-NL"/>
        </w:rPr>
        <w:t>.</w:t>
        <w:tab/>
        <w:t>orgel herplaatst en partieel hersteld</w:t>
      </w:r>
    </w:p>
    <w:p>
      <w:pPr>
        <w:pStyle w:val="T1"/>
        <w:jc w:val="start"/>
        <w:rPr>
          <w:lang w:val="nl-NL"/>
        </w:rPr>
      </w:pPr>
      <w:r>
        <w:rPr>
          <w:lang w:val="nl-NL"/>
        </w:rPr>
        <w:t>.</w:t>
        <w:tab/>
        <w:t>windlade van verende sleepconstructie voorzien</w:t>
      </w:r>
    </w:p>
    <w:p>
      <w:pPr>
        <w:pStyle w:val="T1"/>
        <w:jc w:val="start"/>
        <w:rPr>
          <w:lang w:val="nl-NL"/>
        </w:rPr>
      </w:pPr>
      <w:r>
        <w:rPr>
          <w:lang w:val="nl-NL"/>
        </w:rPr>
        <w:t>.</w:t>
        <w:tab/>
        <w:t>winkelbalk verstelbaar gemaakt</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622" w:type="dxa"/>
        <w:jc w:val="start"/>
        <w:tblInd w:w="0" w:type="dxa"/>
        <w:tblLayout w:type="fixed"/>
        <w:tblCellMar>
          <w:top w:w="0" w:type="dxa"/>
          <w:start w:w="70" w:type="dxa"/>
          <w:bottom w:w="0" w:type="dxa"/>
          <w:end w:w="70" w:type="dxa"/>
        </w:tblCellMar>
      </w:tblPr>
      <w:tblGrid>
        <w:gridCol w:w="1737"/>
        <w:gridCol w:w="885"/>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Petit Bourdon</w:t>
            </w:r>
          </w:p>
          <w:p>
            <w:pPr>
              <w:pStyle w:val="T4dispositie"/>
              <w:jc w:val="start"/>
              <w:rPr>
                <w:lang w:val="nl-NL"/>
              </w:rPr>
            </w:pPr>
            <w:r>
              <w:rPr>
                <w:lang w:val="nl-NL"/>
              </w:rPr>
              <w:t>Viool de Gambe</w:t>
            </w:r>
          </w:p>
          <w:p>
            <w:pPr>
              <w:pStyle w:val="T4dispositie"/>
              <w:jc w:val="start"/>
              <w:rPr>
                <w:lang w:val="nl-NL"/>
              </w:rPr>
            </w:pPr>
            <w:r>
              <w:rPr>
                <w:lang w:val="nl-NL"/>
              </w:rPr>
              <w:t>Octaaf</w:t>
            </w:r>
          </w:p>
          <w:p>
            <w:pPr>
              <w:pStyle w:val="T4dispositie"/>
              <w:jc w:val="start"/>
              <w:rPr>
                <w:lang w:val="nl-NL"/>
              </w:rPr>
            </w:pPr>
            <w:r>
              <w:rPr>
                <w:lang w:val="nl-NL"/>
              </w:rPr>
              <w:t>Fluit d’Amour</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tc>
        <w:tc>
          <w:tcPr>
            <w:tcW w:w="88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3-4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0" w:type="dxa"/>
        <w:tblLayout w:type="fixed"/>
        <w:tblCellMar>
          <w:top w:w="0" w:type="dxa"/>
          <w:start w:w="70" w:type="dxa"/>
          <w:bottom w:w="0" w:type="dxa"/>
          <w:end w:w="70" w:type="dxa"/>
        </w:tblCellMar>
      </w:tblPr>
      <w:tblGrid>
        <w:gridCol w:w="1023"/>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(1894)</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tin. Sprekend zijn de pijpen in de torens en de onderste tussenvelden: C-gis</w:t>
      </w:r>
      <w:r>
        <w:rPr>
          <w:vertAlign w:val="superscript"/>
          <w:lang w:val="nl-NL"/>
        </w:rPr>
        <w:t>1</w:t>
      </w:r>
      <w:r>
        <w:rPr>
          <w:lang w:val="nl-NL"/>
        </w:rPr>
        <w:t xml:space="preserve"> van de Prestant 8'.</w:t>
      </w:r>
    </w:p>
    <w:p>
      <w:pPr>
        <w:pStyle w:val="T1"/>
        <w:jc w:val="start"/>
        <w:rPr>
          <w:lang w:val="nl-NL"/>
        </w:rPr>
      </w:pPr>
      <w:r>
        <w:rPr>
          <w:lang w:val="nl-NL"/>
        </w:rPr>
        <w:t>Het handklavier is een eiken balansklavier. Het huidige beleg op de ondertoetsen is van kunststof. De registerknoppen van de sprekende registers bevinden zich op een zuiver horizontale rij boven de lessenaar. Op de zwarte knoppen zijn witte porseleinen plaatjes aangebracht waarop met zwarte letters in romein de registernamen te zien zijn. Voor de Mixtuur is een hergebruikt porseleinen plaatje met afwijkende detaillering gebruikt. De knop van de tremulant bevindt zich rechts van het handklavier; het formaat en de vorm is afwijkend van de overige knoppen. Voor het ventiel is geen registerknop (meer) aanwezig.</w:t>
      </w:r>
    </w:p>
    <w:p>
      <w:pPr>
        <w:pStyle w:val="T1"/>
        <w:jc w:val="start"/>
        <w:rPr>
          <w:lang w:val="nl-NL"/>
        </w:rPr>
      </w:pPr>
      <w:r>
        <w:rPr>
          <w:lang w:val="nl-NL"/>
        </w:rPr>
        <w:t>Het windtoestel is onder in de kas geplaatst. Handpomp en windzicht zijn in de rechter zijwand aangebracht. Op de voorslag die zich het dichtst bij de klaviatuur bevindt is het klepje van het oorspronkelijk ventiel nog te zien, dat nu vastgeschroefd is en geen bedieningsmechaniek meer heeft.</w:t>
      </w:r>
    </w:p>
    <w:p>
      <w:pPr>
        <w:pStyle w:val="T1"/>
        <w:jc w:val="start"/>
        <w:rPr/>
      </w:pPr>
      <w:r>
        <w:rPr>
          <w:lang w:val="nl-NL"/>
        </w:rPr>
        <w:t>De eiken windlade heeft drie opliggende voorslagen, die met kleine messing haakjes vastgezet zijn. De cancelvolgorde is: gis e c Gis B d fis e</w:t>
      </w:r>
      <w:r>
        <w:rPr>
          <w:vertAlign w:val="superscript"/>
          <w:lang w:val="nl-NL"/>
        </w:rPr>
        <w:t>3</w:t>
      </w:r>
      <w:r>
        <w:rPr>
          <w:lang w:val="nl-NL"/>
        </w:rPr>
        <w:t xml:space="preserve"> (hele tonen) b Fis E D C Cis Dis F a (hele tonen) f</w:t>
      </w:r>
      <w:r>
        <w:rPr>
          <w:vertAlign w:val="superscript"/>
          <w:lang w:val="nl-NL"/>
        </w:rPr>
        <w:t>3</w:t>
      </w:r>
      <w:r>
        <w:rPr>
          <w:lang w:val="nl-NL"/>
        </w:rPr>
        <w:t xml:space="preserve"> f cis A G H dis g. De ciskant bevindt zich aan klaviatuurzijde.</w:t>
      </w:r>
    </w:p>
    <w:p>
      <w:pPr>
        <w:pStyle w:val="T1"/>
        <w:jc w:val="start"/>
        <w:rPr>
          <w:lang w:val="nl-NL"/>
        </w:rPr>
      </w:pPr>
      <w:r>
        <w:rPr>
          <w:lang w:val="nl-NL"/>
        </w:rPr>
        <w:t>Onder de lade is een eiken walsraam met grenen walsen aangebracht.</w:t>
      </w:r>
    </w:p>
    <w:p>
      <w:pPr>
        <w:pStyle w:val="T1"/>
        <w:jc w:val="start"/>
        <w:rPr/>
      </w:pPr>
      <w:r>
        <w:rPr>
          <w:lang w:val="nl-NL"/>
        </w:rPr>
        <w:t>De Petit Bourdon 8' heeft geschilderde houten pijpen voor C-H. De Viool de Gambe 8' is van C-H gecombineerd met de Petit Bourdon. De Fluit d’Amour 4' is van C-h</w:t>
      </w:r>
      <w:r>
        <w:rPr>
          <w:vertAlign w:val="superscript"/>
          <w:lang w:val="nl-NL"/>
        </w:rPr>
        <w:t>1</w:t>
      </w:r>
      <w:r>
        <w:rPr>
          <w:lang w:val="nl-NL"/>
        </w:rPr>
        <w:t xml:space="preserve"> gedekt en verder open, conisch. De pijpstok van de Mixtuur steekt aan de achterzijde van de lade over de rand van het cancellenraam heen.</w:t>
      </w:r>
    </w:p>
    <w:p>
      <w:pPr>
        <w:pStyle w:val="T1"/>
        <w:jc w:val="start"/>
        <w:rPr/>
      </w:pPr>
      <w:r>
        <w:rPr>
          <w:lang w:val="nl-NL"/>
        </w:rPr>
        <w:t>Het binnenpijpwerk heeft rond geritste labia voor de gedekten en spits geritst labia voor de open pijpen. Expressions zijn toegepast bij de binnenpijpen van de Prestant 8' (tot en met h</w:t>
      </w:r>
      <w:r>
        <w:rPr>
          <w:vertAlign w:val="superscript"/>
          <w:lang w:val="nl-NL"/>
        </w:rPr>
        <w:t>2</w:t>
      </w:r>
      <w:r>
        <w:rPr>
          <w:lang w:val="nl-NL"/>
        </w:rPr>
        <w:t>), de Viool de Gambe (geheel), de Octaaf 4' (C-h</w:t>
      </w:r>
      <w:r>
        <w:rPr>
          <w:vertAlign w:val="superscript"/>
          <w:lang w:val="nl-NL"/>
        </w:rPr>
        <w:t>1</w:t>
      </w:r>
      <w:r>
        <w:rPr>
          <w:lang w:val="nl-NL"/>
        </w:rPr>
        <w:t>), de Quint 3' en de Octaaf 2' (beide C-h). Het pijpwerk van de Mixtuur is gedeeltelijk van stemkrullen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WWStandaardalinealettertype">
    <w:name w:val="WW-Standaardalinea-lettertype"/>
    <w:qFormat/>
    <w:rPr/>
  </w:style>
  <w:style w:type="character" w:styleId="Opsommingstekens">
    <w:name w:val="Opsommingstekens"/>
    <w:qFormat/>
    <w:rPr/>
  </w:style>
  <w:style w:type="character" w:styleId="StrongEmphasis">
    <w:name w:val="Strong Emphasis"/>
    <w:basedOn w:val="Standaardalinealettertype"/>
    <w:qFormat/>
    <w:rPr>
      <w:b/>
      <w:bCs/>
    </w:rPr>
  </w:style>
  <w:style w:type="character" w:styleId="Emphasis">
    <w:name w:val="Emphasis"/>
    <w:basedOn w:val="Standaardalinealettertype"/>
    <w:qFormat/>
    <w:rPr>
      <w:i/>
      <w:iCs/>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2007-02-13T13:36:00Z</dcterms:created>
  <dc:creator>WS1</dc:creator>
  <dc:description/>
  <dc:language>en-US</dc:language>
  <cp:lastModifiedBy>WS1</cp:lastModifiedBy>
  <dcterms:modified xsi:type="dcterms:W3CDTF">2007-02-13T13:36:00Z</dcterms:modified>
  <cp:revision>2</cp:revision>
  <dc:subject/>
  <dc:title>Wirdum / 1879</dc:title>
</cp:coreProperties>
</file>