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Kockengen / 1894</w:t>
      </w:r>
    </w:p>
    <w:p>
      <w:pPr>
        <w:pStyle w:val="Heading2"/>
        <w:rPr>
          <w:i w:val="false"/>
          <w:i w:val="false"/>
          <w:iCs/>
        </w:rPr>
      </w:pPr>
      <w:r>
        <w:rPr>
          <w:i w:val="false"/>
          <w:iCs/>
        </w:rPr>
        <w:t>R.K. Kerk H. Maria ten Hemelopneming</w:t>
      </w:r>
    </w:p>
    <w:p>
      <w:pPr>
        <w:pStyle w:val="T1"/>
        <w:jc w:val="start"/>
        <w:rPr>
          <w:i/>
          <w:i/>
          <w:iCs/>
          <w:lang w:val="nl-NL"/>
        </w:rPr>
      </w:pPr>
      <w:r>
        <w:rPr>
          <w:i/>
          <w:iCs/>
          <w:lang w:val="nl-NL"/>
        </w:rPr>
      </w:r>
    </w:p>
    <w:p>
      <w:pPr>
        <w:pStyle w:val="T1"/>
        <w:jc w:val="start"/>
        <w:rPr>
          <w:i/>
          <w:i/>
          <w:iCs/>
          <w:lang w:val="nl-NL"/>
        </w:rPr>
      </w:pPr>
      <w:r>
        <w:rPr>
          <w:i/>
          <w:iCs/>
          <w:lang w:val="nl-NL"/>
        </w:rPr>
        <w:t>Neoclassicistische zaalkerk, gebouwd in 1854 naar ontwerp van G. van Vogelpoel. Altaarnis met opmerkelijke neorenaissance omlijsting. Hoogaltaar uit 1902 uit atelier Margry, in neorenaissance vormen. Erboven beeldengroep van Maria ten Hemelopneming. Preekstoel in barokke vormen.</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Bij dit orgelfront, waarin de beeldhouwer Mengelberg vermoedelijk de hand heeft gehad, grijpt Maarschalkerweerd terug op het fronttype van de O.L. Vrouwekerk te Vianen uit 1883 (deel 1878-1886, 282-285). Het front in Vianen is op te vatten als een vrije vertaling van het beroemde orgel uit de Nicolaikerk te Utrecht, thans in Middelburg (deel 1479-1725, 40-42).</w:t>
      </w:r>
    </w:p>
    <w:p>
      <w:pPr>
        <w:pStyle w:val="T2Kunst"/>
        <w:jc w:val="start"/>
        <w:rPr>
          <w:lang w:val="nl-NL"/>
        </w:rPr>
      </w:pPr>
      <w:r>
        <w:rPr>
          <w:lang w:val="nl-NL"/>
        </w:rPr>
        <w:t>Er zijn toch aanzienlijke verschillen tussen beide orgelfronten. In Vianen nam Mengelberg de spitse middentoren van het Nicolai-orgel over, terwijl hij, eveneens in de zin van zijn prototype, de zijtorens vlak maakte. In Kockengen is de middentoren rond geworden en kregen de zijtorens de spitse vorm. Onder de tussenvelden zien wij de bij Maarschalkerweerd veel voorkomende driehoekige panelen, hier weer naar binnen oplopend; in Vianen was dat precies omgekeerd. De tussenvelden zijn hier gedeeld en hebben in de benedenvelden een naar het midden oplopende labiumlijn, zoals vaker bij Maarschalkerweerd, en in de bovenvelden een horizontale lijn, wat overeenkomt met het Nicolai-orgel. De schuine bovenlijsten zijn hier veel uitgesprokener dan in Vianen en worden hier niet, zoals bij dat instrument, omkaderd door opengewerkte spitsbogen. Ook hierdoor lijkt het front meer op zijn prototype.</w:t>
      </w:r>
    </w:p>
    <w:p>
      <w:pPr>
        <w:pStyle w:val="T2Kunst"/>
        <w:jc w:val="start"/>
        <w:rPr>
          <w:lang w:val="nl-NL"/>
        </w:rPr>
      </w:pPr>
      <w:r>
        <w:rPr>
          <w:lang w:val="nl-NL"/>
        </w:rPr>
        <w:t>De decoratie is geënt op de late gotiek, maar dan wel in een gematigde variant. De ornamentiek van het Nicolai-orgel is ook laatgotisch, maar zeker niet gematigd: wij zien daar tamelijk wilde flamboyante vormen. Voor de neogotici van Kockengen was dit wellicht te flamboyant want van een navolging in de ornamentiek is hier geen sprake. De schuine bovenlijst is bij het Nicolai-orgel opengewerkt en voorzien van een tamelijk wilde decoratie. De bovenlijsten zijn in Kockengen gesloten en voorzien van keurige rozetjes en hogels. De bovenblinderingen in de torens zijn kielbogig; in de middentoren ziet men in de boogzwikken rondboogtraceringen, in de zijtorens rozetten met weer tamelijk klassiek aandoende vierpassen. De spitsen op de torens herinneren wel enigszins aan het Nicolai-orgel. Zij zijn geheel opengewerkt en worden geflankeerd door pinakels en bekroond door kruisbloemen. Traceerwerk ontbreekt hier.</w:t>
      </w:r>
    </w:p>
    <w:p>
      <w:pPr>
        <w:pStyle w:val="T2Kunst"/>
        <w:jc w:val="start"/>
        <w:rPr>
          <w:lang w:val="nl-NL"/>
        </w:rPr>
      </w:pPr>
      <w:r>
        <w:rPr>
          <w:lang w:val="nl-NL"/>
        </w:rPr>
        <w:t>Het is boeiend te zien hoe de ontwerper hier, uitgaande van een middeleeuws prototype, een eigen creatie tot stand bracht, bovendien volkomen anders van karakter dan het verwante Vianen.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Mixtuur</w:t>
      </w:r>
      <w:r>
        <w:rPr>
          <w:lang w:val="nl-NL"/>
        </w:rPr>
        <w:t>, 9 (1973), 155.</w:t>
      </w:r>
    </w:p>
    <w:p>
      <w:pPr>
        <w:pStyle w:val="T3Lit"/>
        <w:jc w:val="start"/>
        <w:rPr/>
      </w:pPr>
      <w:r>
        <w:rPr>
          <w:lang w:val="nl-NL"/>
        </w:rPr>
        <w:t xml:space="preserve">Bert Wisgerhof, </w:t>
      </w:r>
      <w:r>
        <w:rPr>
          <w:i/>
          <w:lang w:val="nl-NL"/>
        </w:rPr>
        <w:t>Utrechts Orgellandschap</w:t>
      </w:r>
      <w:r>
        <w:rPr>
          <w:lang w:val="nl-NL"/>
        </w:rPr>
        <w:t>. Amersfoort, 1979, 82-83.</w:t>
      </w:r>
    </w:p>
    <w:p>
      <w:pPr>
        <w:pStyle w:val="T1"/>
        <w:jc w:val="start"/>
        <w:rPr>
          <w:lang w:val="nl-NL"/>
        </w:rPr>
      </w:pPr>
      <w:r>
        <w:rPr>
          <w:lang w:val="nl-NL"/>
        </w:rPr>
      </w:r>
    </w:p>
    <w:p>
      <w:pPr>
        <w:pStyle w:val="T3Lit"/>
        <w:jc w:val="start"/>
        <w:rPr>
          <w:lang w:val="nl-NL"/>
        </w:rPr>
      </w:pPr>
      <w:r>
        <w:rPr>
          <w:lang w:val="nl-NL"/>
        </w:rPr>
        <w:t>Orgelnummer 789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1960</w:t>
      </w:r>
    </w:p>
    <w:p>
      <w:pPr>
        <w:pStyle w:val="T1"/>
        <w:jc w:val="start"/>
        <w:rPr>
          <w:lang w:val="nl-NL"/>
        </w:rPr>
      </w:pPr>
      <w:r>
        <w:rPr>
          <w:lang w:val="nl-NL"/>
        </w:rPr>
        <w:t>.</w:t>
        <w:tab/>
        <w:t>orgel naar achteren verplaatst</w:t>
      </w:r>
    </w:p>
    <w:p>
      <w:pPr>
        <w:pStyle w:val="T1"/>
        <w:jc w:val="start"/>
        <w:rPr>
          <w:lang w:val="nl-NL"/>
        </w:rPr>
      </w:pPr>
      <w:r>
        <w:rPr>
          <w:lang w:val="nl-NL"/>
        </w:rPr>
        <w:t>.</w:t>
        <w:tab/>
        <w:t>dak orgelkas vernieuwd, achterwand gewijzigd</w:t>
      </w:r>
    </w:p>
    <w:p>
      <w:pPr>
        <w:pStyle w:val="T1"/>
        <w:jc w:val="start"/>
        <w:rPr>
          <w:lang w:val="nl-NL"/>
        </w:rPr>
      </w:pPr>
      <w:r>
        <w:rPr>
          <w:lang w:val="nl-NL"/>
        </w:rPr>
      </w:r>
    </w:p>
    <w:p>
      <w:pPr>
        <w:pStyle w:val="T1"/>
        <w:jc w:val="start"/>
        <w:rPr>
          <w:lang w:val="nl-NL"/>
        </w:rPr>
      </w:pPr>
      <w:r>
        <w:rPr>
          <w:lang w:val="nl-NL"/>
        </w:rPr>
        <w:t>J.J. Elbertse &amp; Zn 1982</w:t>
      </w:r>
    </w:p>
    <w:p>
      <w:pPr>
        <w:pStyle w:val="T1"/>
        <w:jc w:val="start"/>
        <w:rPr>
          <w:lang w:val="nl-NL"/>
        </w:rPr>
      </w:pPr>
      <w:r>
        <w:rPr>
          <w:lang w:val="nl-NL"/>
        </w:rPr>
        <w:t>.</w:t>
        <w:tab/>
        <w:t>restauratie</w:t>
      </w:r>
    </w:p>
    <w:p>
      <w:pPr>
        <w:pStyle w:val="T1"/>
        <w:jc w:val="start"/>
        <w:rPr>
          <w:lang w:val="nl-NL"/>
        </w:rPr>
      </w:pPr>
      <w:r>
        <w:rPr>
          <w:lang w:val="nl-NL"/>
        </w:rPr>
        <w:t>.</w:t>
        <w:tab/>
        <w:t>bakstukken en klavieromlijsting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564" w:type="dxa"/>
        <w:jc w:val="start"/>
        <w:tblInd w:w="-70" w:type="dxa"/>
        <w:tblLayout w:type="fixed"/>
        <w:tblCellMar>
          <w:top w:w="0" w:type="dxa"/>
          <w:start w:w="70" w:type="dxa"/>
          <w:bottom w:w="0" w:type="dxa"/>
          <w:end w:w="70" w:type="dxa"/>
        </w:tblCellMar>
      </w:tblPr>
      <w:tblGrid>
        <w:gridCol w:w="1600"/>
        <w:gridCol w:w="631"/>
        <w:gridCol w:w="1690"/>
        <w:gridCol w:w="643"/>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 Dd</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Octaaf</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Dolcichimo</w:t>
            </w:r>
          </w:p>
          <w:p>
            <w:pPr>
              <w:pStyle w:val="T4dispositie"/>
              <w:jc w:val="start"/>
              <w:rPr>
                <w:lang w:val="nl-NL"/>
              </w:rPr>
            </w:pPr>
            <w:r>
              <w:rPr>
                <w:lang w:val="nl-NL"/>
              </w:rPr>
              <w:t>Flute dolce</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manuaalkoppel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(1894)</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 xml:space="preserve">Het front is voorzien van de volgende tekst: </w:t>
      </w:r>
      <w:r>
        <w:rPr>
          <w:i/>
          <w:iCs/>
          <w:lang w:val="nl-NL"/>
        </w:rPr>
        <w:t>Per quinque lustra 10. AUG: 1868-1893 in presbyteratu Pastori G. Woldberg grati parochiani jubilanti.</w:t>
      </w:r>
    </w:p>
    <w:p>
      <w:pPr>
        <w:pStyle w:val="T1"/>
        <w:jc w:val="start"/>
        <w:rPr>
          <w:lang w:val="nl-NL"/>
        </w:rPr>
      </w:pPr>
      <w:r>
        <w:rPr>
          <w:lang w:val="nl-NL"/>
        </w:rPr>
        <w:t>De magazijnbalg met de beide schepbalgen bevindt zich in de onderkas. Van de oorspronkelijke trapinstallatie is een deel van de treden verwijderd. De curieuze windwijzer is nog aanwezig.</w:t>
      </w:r>
    </w:p>
    <w:p>
      <w:pPr>
        <w:pStyle w:val="T1"/>
        <w:jc w:val="start"/>
        <w:rPr>
          <w:lang w:val="nl-NL"/>
        </w:rPr>
      </w:pPr>
      <w:r>
        <w:rPr>
          <w:lang w:val="nl-NL"/>
        </w:rPr>
        <w:t>De registeropschriften zijn uitgevoerd in gotisch schrift en staan op porseleinen plaatjes. Het opschrift van de huidige Octaaf 2' is niet origineel. Oorspronkelijk heette dit register Woudfluit 2'.</w:t>
      </w:r>
    </w:p>
    <w:p>
      <w:pPr>
        <w:pStyle w:val="T1"/>
        <w:jc w:val="start"/>
        <w:rPr>
          <w:lang w:val="nl-NL"/>
        </w:rPr>
      </w:pPr>
      <w:r>
        <w:rPr>
          <w:lang w:val="nl-NL"/>
        </w:rPr>
        <w:t>De gecombineerde windlade is ingedeeld in een tertsopstelling.</w:t>
      </w:r>
    </w:p>
    <w:p>
      <w:pPr>
        <w:pStyle w:val="T1"/>
        <w:jc w:val="start"/>
        <w:rPr/>
      </w:pPr>
      <w:r>
        <w:rPr>
          <w:lang w:val="nl-NL"/>
        </w:rPr>
        <w:t>Van de Prestant 8' staan C-dis</w:t>
      </w:r>
      <w:r>
        <w:rPr>
          <w:vertAlign w:val="superscript"/>
          <w:lang w:val="nl-NL"/>
        </w:rPr>
        <w:t>2</w:t>
      </w:r>
      <w:r>
        <w:rPr>
          <w:lang w:val="nl-NL"/>
        </w:rPr>
        <w:t xml:space="preserve"> in het front; de overige pijpen staan op de lade inclusief het gehele dubbelkoor (c</w:t>
      </w:r>
      <w:r>
        <w:rPr>
          <w:vertAlign w:val="superscript"/>
          <w:lang w:val="nl-NL"/>
        </w:rPr>
        <w:t>1</w:t>
      </w:r>
      <w:r>
        <w:rPr>
          <w:lang w:val="nl-NL"/>
        </w:rPr>
        <w:t>-f</w:t>
      </w:r>
      <w:r>
        <w:rPr>
          <w:vertAlign w:val="superscript"/>
          <w:lang w:val="nl-NL"/>
        </w:rPr>
        <w:t>3</w:t>
      </w:r>
      <w:r>
        <w:rPr>
          <w:lang w:val="nl-NL"/>
        </w:rPr>
        <w:t>). De Bourdon 16' heeft gedekte grenen pijpen met eiken voorslagen voor de tonen C-a. Daarvan zijn C-H afgevoerd. De overige pijpen zijn van metaal (gedekt). C-H van de Roerfluit 8' zijn van grenen (gedekt), het vervolg is van metaal met roeren. De Dolcichimo 8' is van C-H gedekt, het vervolg is open, trechtervormig. Het metalen pijpwerk is veelal voorzien van zij- of kastbaarden. De open pijpen zijn grotendeels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2007-02-13T14:00:00Z</dcterms:created>
  <dc:creator>WS1</dc:creator>
  <dc:description/>
  <dc:language>en-US</dc:language>
  <cp:lastModifiedBy>WS1</cp:lastModifiedBy>
  <dcterms:modified xsi:type="dcterms:W3CDTF">2007-02-13T14:00:00Z</dcterms:modified>
  <cp:revision>2</cp:revision>
  <dc:subject/>
  <dc:title>Kockengen / 1884</dc:title>
</cp:coreProperties>
</file>