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Sneek / 1894</w:t>
      </w:r>
    </w:p>
    <w:p>
      <w:pPr>
        <w:pStyle w:val="Heading2"/>
        <w:rPr>
          <w:i w:val="false"/>
          <w:i w:val="false"/>
          <w:iCs/>
        </w:rPr>
      </w:pPr>
      <w:r>
        <w:rPr>
          <w:i w:val="false"/>
          <w:iCs/>
        </w:rPr>
        <w:t xml:space="preserve">Nieuw Apostolische Kerk </w:t>
      </w:r>
    </w:p>
    <w:p>
      <w:pPr>
        <w:pStyle w:val="T1"/>
        <w:jc w:val="start"/>
        <w:rPr>
          <w:i/>
          <w:i/>
          <w:iCs/>
          <w:lang w:val="nl-NL"/>
        </w:rPr>
      </w:pPr>
      <w:r>
        <w:rPr>
          <w:i/>
          <w:iCs/>
          <w:lang w:val="nl-NL"/>
        </w:rPr>
      </w:r>
    </w:p>
    <w:p>
      <w:pPr>
        <w:pStyle w:val="T1"/>
        <w:jc w:val="start"/>
        <w:rPr>
          <w:i/>
          <w:i/>
          <w:iCs/>
          <w:lang w:val="nl-NL"/>
        </w:rPr>
      </w:pPr>
      <w:r>
        <w:rPr>
          <w:i/>
          <w:iCs/>
          <w:lang w:val="nl-NL"/>
        </w:rPr>
        <w:t>Zaalkerk met slanke dakruiter, gebouwd in 1930-1931, naar ontwerp van H. Bundens.</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was oorspronkelijk bestemd voor de Gereformeerde Kerk aan de Bazarlaan in ´s-Gravenhage, een gebouw dat in 1886 was gebouwd als vergaderzaal met bovenwoningen met een eenvoudige neorenaissance voorgevel. Het inwendige vertoonde geen uitgesproken stijlkenmerken. Van 1920-1978 werd het gebouw gebruikt door de Hersteld Apostolische Zendingsgemeente. Daarna werd het gesloopt.</w:t>
      </w:r>
    </w:p>
    <w:p>
      <w:pPr>
        <w:pStyle w:val="T2Kunst"/>
        <w:jc w:val="start"/>
        <w:rPr>
          <w:lang w:val="nl-NL"/>
        </w:rPr>
      </w:pPr>
      <w:r>
        <w:rPr>
          <w:lang w:val="nl-NL"/>
        </w:rPr>
        <w:t>Van Gelder had in 1888 aan de Haagse dolerenden een orgel geleverd voor de Westerkerk (thans in de Hofrustkapel te Rijswijk). In 1894 kreeg hij de opdracht voor een orgel in hun tweede kerkgebouw. Bij dit front draait hij verschillende elementen van zijn frontconcept voor de Westerkerk om. Daar is de middentoren rond en voorzien van een verhoogde frontstok; bij dit instrument is hij spits een loopt hij tot diep in de onderkas door. In Rijswijk zijn de tussenvelden half boogvormig en hebben zij een naar het midden oplopende labiumlijn; hier hebben zij de vorm van een parallellogram en hebben zij een naar het midden aflopende labiumlijn. De zijtorens zijn vlak geworden, maar hebben door hun uitgesproken consoles toch het torenkarakter behouden. Ook zetten zij hoger aan dan de tussenvelden, wat weer met het orgel in Rijswijk overeenkomt.</w:t>
      </w:r>
    </w:p>
    <w:p>
      <w:pPr>
        <w:pStyle w:val="T2Kunst"/>
        <w:jc w:val="start"/>
        <w:rPr>
          <w:lang w:val="nl-NL"/>
        </w:rPr>
      </w:pPr>
      <w:r>
        <w:rPr>
          <w:lang w:val="nl-NL"/>
        </w:rPr>
        <w:t>Opvallend aan de decoratie zijn vooral de driehoekige frontons met pinakels boven de zijtorens.Een element dat waarschijnlijk is afgeleid van de 16e-eeuwse renaissance, zoals bijvoorbeeld te zien is aan het rugpositief van het Nicolai-orgel in Middelburg uit 1547 (deel 1479-1725, 40-42). De daar aanwezige karakteristieke koppen ontbreken hier echter. Op dezelfde inspiratiebron wijzen de ruitvormige opgelegde panelen in de onderkas, ook deze zonder koppen. Boven de middentoren een uit voluten samengesteld opzetstuk.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153, 208.</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Orgelnummer 1373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van Gelder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´s-Gravenhage, Gereformeerde Kerk aan de Bazarlaan</w:t>
      </w:r>
    </w:p>
    <w:p>
      <w:pPr>
        <w:pStyle w:val="T1"/>
        <w:jc w:val="start"/>
        <w:rPr>
          <w:lang w:val="nl-NL"/>
        </w:rPr>
      </w:pPr>
      <w:r>
        <w:rPr>
          <w:lang w:val="nl-NL"/>
        </w:rPr>
      </w:r>
    </w:p>
    <w:p>
      <w:pPr>
        <w:pStyle w:val="T1"/>
        <w:jc w:val="start"/>
        <w:rPr>
          <w:lang w:val="nl-NL"/>
        </w:rPr>
      </w:pPr>
      <w:r>
        <w:rPr>
          <w:lang w:val="nl-NL"/>
        </w:rPr>
        <w:t>A.S.J. Dekker 1938</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D.A. Flentrop 1960</w:t>
      </w:r>
    </w:p>
    <w:p>
      <w:pPr>
        <w:pStyle w:val="T1"/>
        <w:jc w:val="start"/>
        <w:rPr>
          <w:lang w:val="nl-NL"/>
        </w:rPr>
      </w:pPr>
      <w:r>
        <w:rPr>
          <w:lang w:val="nl-NL"/>
        </w:rPr>
        <w:t>.</w:t>
        <w:tab/>
        <w:t>orgel overgeplaatst naar Sneek, Nieuw Apostolische 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75" w:type="dxa"/>
        <w:jc w:val="start"/>
        <w:tblInd w:w="-70" w:type="dxa"/>
        <w:tblLayout w:type="fixed"/>
        <w:tblCellMar>
          <w:top w:w="0" w:type="dxa"/>
          <w:start w:w="70" w:type="dxa"/>
          <w:bottom w:w="0" w:type="dxa"/>
          <w:end w:w="70" w:type="dxa"/>
        </w:tblCellMar>
      </w:tblPr>
      <w:tblGrid>
        <w:gridCol w:w="1600"/>
        <w:gridCol w:w="825"/>
        <w:gridCol w:w="825"/>
        <w:gridCol w:w="825"/>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Piccolo</w:t>
            </w:r>
          </w:p>
          <w:p>
            <w:pPr>
              <w:pStyle w:val="T4dispositie"/>
              <w:jc w:val="start"/>
              <w:rPr>
                <w:lang w:val="nl-NL"/>
              </w:rPr>
            </w:pPr>
            <w:r>
              <w:rPr>
                <w:lang w:val="nl-NL"/>
              </w:rPr>
              <w:t>Cornet 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c>
          <w:tcPr>
            <w:tcW w:w="825" w:type="dxa"/>
            <w:tcBorders/>
          </w:tcPr>
          <w:p>
            <w:pPr>
              <w:pStyle w:val="T4dispositie"/>
              <w:jc w:val="start"/>
              <w:rPr>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4dispositie"/>
        <w:rPr>
          <w:lang w:val="nl-NL"/>
        </w:rPr>
      </w:pPr>
      <w:r>
        <w:rPr>
          <w:lang w:val="nl-NL"/>
        </w:rPr>
      </w:r>
    </w:p>
    <w:p>
      <w:pPr>
        <w:pStyle w:val="T4dispositie"/>
        <w:rPr>
          <w:lang w:val="nl-NL"/>
        </w:rPr>
      </w:pPr>
      <w:r>
        <w:rPr>
          <w:lang w:val="nl-NL"/>
        </w:rPr>
        <w:t>* in werkelijkheid D</w:t>
      </w:r>
    </w:p>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8 - 4 - 2 2/3</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(1894)</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het front spreken A-a van de Prestant 8' in het middenveld en de beide zijvelden, de frontpijpen in de tussenvelden zijn stom.</w:t>
      </w:r>
    </w:p>
    <w:p>
      <w:pPr>
        <w:pStyle w:val="T1"/>
        <w:jc w:val="start"/>
        <w:rPr/>
      </w:pPr>
      <w:r>
        <w:rPr>
          <w:lang w:val="nl-NL"/>
        </w:rPr>
        <w:t xml:space="preserve">Alle onderdelen van de klaviatuur zijn authentiek. Het naamplaatje boven het handklavier vermeldt dat het orgel gemaakt werd door </w:t>
      </w:r>
      <w:r>
        <w:rPr>
          <w:i/>
          <w:iCs/>
          <w:lang w:val="nl-NL"/>
        </w:rPr>
        <w:t>Gaskracht Orgelfabriek J. van Gelder te Leiden</w:t>
      </w:r>
      <w:r>
        <w:rPr>
          <w:lang w:val="nl-NL"/>
        </w:rPr>
        <w:t>. De registerknoppen zijn tussen handklavier en lessenaar in geplaatst. De trekstokken zijn rond, de knoppen zijn voorzien van porseleinen naamplaatjes. De ondertoetsen van het handklavier zijn belegd met ivoor.</w:t>
      </w:r>
    </w:p>
    <w:p>
      <w:pPr>
        <w:pStyle w:val="T1"/>
        <w:jc w:val="start"/>
        <w:rPr>
          <w:lang w:val="nl-NL"/>
        </w:rPr>
      </w:pPr>
      <w:r>
        <w:rPr>
          <w:lang w:val="nl-NL"/>
        </w:rPr>
        <w:t>De windvoorziening bevindt zich onder in de orgelkas.</w:t>
      </w:r>
    </w:p>
    <w:p>
      <w:pPr>
        <w:pStyle w:val="T1"/>
        <w:jc w:val="start"/>
        <w:rPr>
          <w:lang w:val="nl-NL"/>
        </w:rPr>
      </w:pPr>
      <w:r>
        <w:rPr>
          <w:lang w:val="nl-NL"/>
        </w:rPr>
        <w:t>De windlade is van eiken. De ventielkast heeft opliggende voorslagen, vastgezet met messing klemmetjes. De cancelvolgorde is in hele tonen aflopend, vanuit C in het midden.</w:t>
      </w:r>
    </w:p>
    <w:p>
      <w:pPr>
        <w:pStyle w:val="T1"/>
        <w:jc w:val="start"/>
        <w:rPr>
          <w:lang w:val="nl-NL"/>
        </w:rPr>
      </w:pPr>
      <w:r>
        <w:rPr>
          <w:lang w:val="nl-NL"/>
        </w:rPr>
        <w:t>De Bourdon 16' van het Ped staat op een separate pedaallade achter de manuaallade; tussen beide laden in bevindt zich een stempad. De Bourdon 16' Ped is niet voorzien van een registerknop, het register is permanent ingeschakeld.</w:t>
      </w:r>
    </w:p>
    <w:p>
      <w:pPr>
        <w:pStyle w:val="T1"/>
        <w:jc w:val="start"/>
        <w:rPr/>
      </w:pPr>
      <w:r>
        <w:rPr>
          <w:lang w:val="nl-NL"/>
        </w:rPr>
        <w:t>Houten pijpen worden aangetroffen in de Holpijp 8' (C-H) en in de Bourdon 16' Ped (geheel). De Prestant 8' is van C-Gis gedekt. De Bourdon 16' Man begint op cis</w:t>
      </w:r>
      <w:r>
        <w:rPr>
          <w:vertAlign w:val="superscript"/>
          <w:lang w:val="nl-NL"/>
        </w:rPr>
        <w:t>1</w:t>
      </w:r>
      <w:r>
        <w:rPr>
          <w:lang w:val="nl-NL"/>
        </w:rPr>
        <w:t>. De Gamba 8' is van C-H gecombineerd met de Holpijp 8'. De Piccolo 2' is cilindrisch, als prestantregister gemensureerd. Van de Cornet is het acht-voets koor gedekt, de beide andere koren bestaan uit openfluit-pijpwerk.</w:t>
      </w:r>
    </w:p>
    <w:p>
      <w:pPr>
        <w:pStyle w:val="T1"/>
        <w:jc w:val="start"/>
        <w:rPr>
          <w:lang w:val="nl-NL"/>
        </w:rPr>
      </w:pPr>
      <w:r>
        <w:rPr>
          <w:lang w:val="nl-NL"/>
        </w:rPr>
        <w:t>De open pijpen hebben spits gewreven labia. De gedekte metalen pijpen zijn voorzien van gebogen opsneden, terwijl het bovenlabium van deze registers niet gevlakt is.</w:t>
      </w:r>
    </w:p>
    <w:p>
      <w:pPr>
        <w:pStyle w:val="T1"/>
        <w:jc w:val="start"/>
        <w:rPr/>
      </w:pPr>
      <w:r>
        <w:rPr>
          <w:lang w:val="nl-NL"/>
        </w:rPr>
        <w:t>Expressions zijn toegepast bij alle binnenpijpen van de Prestant 8' en de Gamba 8' alsmede bij Octaaf 4' (C-f</w:t>
      </w:r>
      <w:r>
        <w:rPr>
          <w:vertAlign w:val="superscript"/>
          <w:lang w:val="nl-NL"/>
        </w:rPr>
        <w:t>2</w:t>
      </w:r>
      <w:r>
        <w:rPr>
          <w:lang w:val="nl-NL"/>
        </w:rPr>
        <w:t>), Piccolo 2' (C-f</w:t>
      </w:r>
      <w:r>
        <w:rPr>
          <w:vertAlign w:val="superscript"/>
          <w:lang w:val="nl-NL"/>
        </w:rPr>
        <w:t>1</w:t>
      </w:r>
      <w:r>
        <w:rPr>
          <w:lang w:val="nl-NL"/>
        </w:rPr>
        <w:t>), Cornet 4' (c</w:t>
      </w:r>
      <w:r>
        <w:rPr>
          <w:vertAlign w:val="superscript"/>
          <w:lang w:val="nl-NL"/>
        </w:rPr>
        <w:t>1</w:t>
      </w:r>
      <w:r>
        <w:rPr>
          <w:lang w:val="nl-NL"/>
        </w:rPr>
        <w:t>-f</w:t>
      </w:r>
      <w:r>
        <w:rPr>
          <w:vertAlign w:val="superscript"/>
          <w:lang w:val="nl-NL"/>
        </w:rPr>
        <w:t>2</w:t>
      </w:r>
      <w:r>
        <w:rPr>
          <w:lang w:val="nl-NL"/>
        </w:rPr>
        <w:t>) en Cornet 2 2/3' (c</w:t>
      </w:r>
      <w:r>
        <w:rPr>
          <w:vertAlign w:val="superscript"/>
          <w:lang w:val="nl-NL"/>
        </w:rPr>
        <w:t>1</w:t>
      </w:r>
      <w:r>
        <w:rPr>
          <w:lang w:val="nl-NL"/>
        </w:rPr>
        <w:t>-f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Bronvermelding">
    <w:name w:val="bronvermelding"/>
    <w:basedOn w:val="Normal"/>
    <w:qFormat/>
    <w:pPr>
      <w:tabs>
        <w:tab w:val="clear" w:pos="708"/>
        <w:tab w:val="right" w:pos="9360" w:leader="none"/>
      </w:tabs>
      <w:suppressAutoHyphens w:val="true"/>
      <w:autoSpaceDE w:val="false"/>
      <w:spacing w:lineRule="atLeast" w:line="24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2007-02-13T14:08:00Z</dcterms:created>
  <dc:creator>WS1</dc:creator>
  <dc:description/>
  <dc:language>en-US</dc:language>
  <cp:lastModifiedBy>WS1</cp:lastModifiedBy>
  <cp:lastPrinted>2004-05-14T12:21:00Z</cp:lastPrinted>
  <dcterms:modified xsi:type="dcterms:W3CDTF">2007-02-13T14:08:00Z</dcterms:modified>
  <cp:revision>2</cp:revision>
  <dc:subject/>
  <dc:title>Daarle / 1872</dc:title>
</cp:coreProperties>
</file>