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Ten Boer / 1894</w:t>
      </w:r>
    </w:p>
    <w:p>
      <w:pPr>
        <w:pStyle w:val="Heading2"/>
        <w:numPr>
          <w:ilvl w:val="0"/>
          <w:numId w:val="0"/>
        </w:numPr>
        <w:ind w:start="0" w:hanging="0"/>
        <w:rPr>
          <w:i w:val="false"/>
          <w:i w:val="false"/>
          <w:iCs/>
        </w:rPr>
      </w:pPr>
      <w:r>
        <w:rPr>
          <w:i w:val="false"/>
          <w:iCs/>
        </w:rPr>
        <w:t>Hervormde Kloosterkerk</w:t>
      </w:r>
    </w:p>
    <w:p>
      <w:pPr>
        <w:pStyle w:val="T1"/>
        <w:jc w:val="start"/>
        <w:rPr>
          <w:i/>
          <w:i/>
          <w:iCs/>
          <w:lang w:val="nl-NL"/>
        </w:rPr>
      </w:pPr>
      <w:r>
        <w:rPr>
          <w:i/>
          <w:iCs/>
          <w:lang w:val="nl-NL"/>
        </w:rPr>
      </w:r>
    </w:p>
    <w:p>
      <w:pPr>
        <w:pStyle w:val="T1"/>
        <w:jc w:val="start"/>
        <w:rPr>
          <w:i/>
          <w:i/>
          <w:iCs/>
          <w:lang w:val="nl-NL"/>
        </w:rPr>
      </w:pPr>
      <w:r>
        <w:rPr>
          <w:i/>
          <w:iCs/>
          <w:lang w:val="nl-NL"/>
        </w:rPr>
        <w:t>Gebouwd in het derde kwart van de 13e eeuw als kloosterkerk van een benedictinessenklooster. Eenbeukige kerk met rechtgesloten koor, een van de fraaiste voorbeelden van de Groninger romano-gotiek. De oorspronkelijk aanwezige koepelgewelven zijn waarschijnlijk in 1618 uitgebroken en vervangen door een vlakke balken zoldering. In de kerk een preekstoel uit omstreeks 1669.</w:t>
      </w:r>
    </w:p>
    <w:p>
      <w:pPr>
        <w:pStyle w:val="T1"/>
        <w:jc w:val="start"/>
        <w:rPr>
          <w:i/>
          <w:i/>
          <w:iCs/>
          <w:lang w:val="nl-NL"/>
        </w:rPr>
      </w:pPr>
      <w:r>
        <w:rPr>
          <w:i/>
          <w:iCs/>
          <w:lang w:val="nl-NL"/>
        </w:rPr>
      </w:r>
    </w:p>
    <w:p>
      <w:pPr>
        <w:pStyle w:val="T1"/>
        <w:jc w:val="start"/>
        <w:rPr>
          <w:lang w:val="nl-NL"/>
        </w:rPr>
      </w:pPr>
      <w:r>
        <w:rPr>
          <w:lang w:val="nl-NL"/>
        </w:rPr>
        <w:t>Kas: 1894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Eenvoudig vijfdelig front met ronde torens en gedeelde tussenvelden met parallel labiumverloop. De slankheid en vlakheid van de tussenvelden is ongewoon voor dit type orgels van Doornbos. Zijn tussenvelden zijn doorgaans breder (Opwierde, 1882) en hol gebogen (Nieuwleusen, ca 1900, en Zuidwolde, 1902), waardoor het front gewoonlijk iets gedrongens krijgt. De proporties van dit orgel zijn beter geslaagd en sluiten aan bij de orgels van zijn leermeester Roelf Meijer in bijvoorbeeld Baflo (1876, deel 1872-1878), en Oude Pekela (1883, deel 1878-1886).</w:t>
      </w:r>
    </w:p>
    <w:p>
      <w:pPr>
        <w:pStyle w:val="T2Kunst"/>
        <w:jc w:val="start"/>
        <w:rPr>
          <w:lang w:val="nl-NL"/>
        </w:rPr>
      </w:pPr>
      <w:r>
        <w:rPr>
          <w:lang w:val="nl-NL"/>
        </w:rPr>
        <w:t>Het blinderingssnijwerk aan onder- en bovenzijde van de tussenvelden bestaat uit een combinatie van S- en C-ranken. Als torenblinderingen ziet men ranken, die in de hoeken ontspruiten, vervolgens vertakken en in het midden van de toren elkaar omkrullend raken. De vleugelstukken zijn karakteristiek voor dit type orgels van Doornbos: een forse, sterk omkrullende S-rank met rozetten in de krullen, waarboven flauw naar de orgelkas gebogen rankwerk.</w:t>
      </w:r>
    </w:p>
    <w:p>
      <w:pPr>
        <w:pStyle w:val="T2Kunst"/>
        <w:jc w:val="start"/>
        <w:rPr>
          <w:lang w:val="nl-NL"/>
        </w:rPr>
      </w:pPr>
      <w:r>
        <w:rPr>
          <w:lang w:val="nl-NL"/>
        </w:rPr>
        <w:t>Zoals gebruikelijk bij het oeuvre van Doornbos ontbreken de consoles onder de torens. De torens worden bekroond door twee vazen en een lier.</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Het Groninger Orgelbezit van Adorp tot Zijldijk. 5 Fivelingo</w:t>
      </w:r>
      <w:r>
        <w:rPr>
          <w:lang w:val="nl-NL"/>
        </w:rPr>
        <w:t>. Groningen, 1998, 156-157.</w:t>
      </w:r>
    </w:p>
    <w:p>
      <w:pPr>
        <w:pStyle w:val="T3Lit"/>
        <w:jc w:val="start"/>
        <w:rPr/>
      </w:pPr>
      <w:r>
        <w:rPr>
          <w:szCs w:val="24"/>
          <w:lang w:val="nl-NL"/>
        </w:rPr>
        <w:t>J.Holthuis</w:t>
      </w:r>
      <w:r>
        <w:rPr>
          <w:i/>
          <w:szCs w:val="24"/>
          <w:lang w:val="nl-NL"/>
        </w:rPr>
        <w:t>, ´</w:t>
      </w:r>
      <w:r>
        <w:rPr>
          <w:iCs/>
          <w:szCs w:val="24"/>
          <w:lang w:val="nl-NL"/>
        </w:rPr>
        <w:t>Petrus van Oeckelen [.] Orgelmaker te Harenermolen bij Groningen [.] Voortzetter of vernieuwer der Groninger orgelmakerstraditie ?´,</w:t>
      </w:r>
      <w:r>
        <w:rPr>
          <w:szCs w:val="24"/>
          <w:lang w:val="nl-NL"/>
        </w:rPr>
        <w:t xml:space="preserve"> Groningen, 1985. </w:t>
      </w:r>
      <w:r>
        <w:rPr>
          <w:i/>
          <w:iCs/>
          <w:szCs w:val="24"/>
          <w:lang w:val="nl-NL"/>
        </w:rPr>
        <w:t>Publicatie Stichting Groningen Orgelland</w:t>
      </w:r>
      <w:r>
        <w:rPr>
          <w:szCs w:val="24"/>
          <w:lang w:val="nl-NL"/>
        </w:rPr>
        <w:t xml:space="preserve">, 13 (mei 1985). </w:t>
      </w:r>
    </w:p>
    <w:p>
      <w:pPr>
        <w:pStyle w:val="T3Lit"/>
        <w:jc w:val="start"/>
        <w:rPr/>
      </w:pPr>
      <w:r>
        <w:rPr>
          <w:szCs w:val="24"/>
          <w:lang w:val="nl-NL"/>
        </w:rPr>
        <w:t xml:space="preserve">F. Talstra, 'Het Groninger orgelbezit van de Reformatie tot de Romantiek II'. </w:t>
      </w:r>
      <w:r>
        <w:rPr>
          <w:i/>
          <w:iCs/>
          <w:szCs w:val="24"/>
          <w:lang w:val="nl-NL"/>
        </w:rPr>
        <w:t>Publicatie</w:t>
        <w:softHyphen/>
        <w:t>map Stichting Oude Groninger Kerken</w:t>
      </w:r>
      <w:r>
        <w:rPr>
          <w:szCs w:val="24"/>
          <w:lang w:val="nl-NL"/>
        </w:rPr>
        <w:t>, deel III, nr. 27 (1982), 145-167.</w:t>
      </w:r>
    </w:p>
    <w:p>
      <w:pPr>
        <w:pStyle w:val="T3Lit"/>
        <w:jc w:val="start"/>
        <w:rPr>
          <w:b/>
          <w:b/>
          <w:bCs/>
          <w:szCs w:val="24"/>
          <w:lang w:val="nl-NL"/>
        </w:rPr>
      </w:pPr>
      <w:r>
        <w:rPr>
          <w:b/>
          <w:bCs/>
          <w:szCs w:val="24"/>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Dispositieverzameling Johan van Meurs.</w:t>
      </w:r>
    </w:p>
    <w:p>
      <w:pPr>
        <w:pStyle w:val="T3Lit"/>
        <w:jc w:val="start"/>
        <w:rPr>
          <w:lang w:val="nl-NL"/>
        </w:rPr>
      </w:pPr>
      <w:r>
        <w:rPr>
          <w:lang w:val="nl-NL"/>
        </w:rPr>
        <w:t>SKKN, dossier Ten Boer NHK, inventarisatierapport 1989.</w:t>
      </w:r>
    </w:p>
    <w:p>
      <w:pPr>
        <w:pStyle w:val="T3Lit"/>
        <w:jc w:val="start"/>
        <w:rPr>
          <w:lang w:val="nl-NL"/>
        </w:rPr>
      </w:pPr>
      <w:r>
        <w:rPr>
          <w:lang w:val="nl-NL"/>
        </w:rPr>
      </w:r>
    </w:p>
    <w:p>
      <w:pPr>
        <w:pStyle w:val="T3Lit"/>
        <w:jc w:val="start"/>
        <w:rPr>
          <w:lang w:val="nl-NL"/>
        </w:rPr>
      </w:pPr>
      <w:r>
        <w:rPr>
          <w:lang w:val="nl-NL"/>
        </w:rPr>
        <w:t>Monumentnummer 9779</w:t>
      </w:r>
    </w:p>
    <w:p>
      <w:pPr>
        <w:pStyle w:val="T3Lit"/>
        <w:jc w:val="start"/>
        <w:rPr>
          <w:lang w:val="nl-NL"/>
        </w:rPr>
      </w:pPr>
      <w:r>
        <w:rPr>
          <w:lang w:val="nl-NL"/>
        </w:rPr>
        <w:t>Orgelnummer 1438</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Doornbos</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1894</w:t>
      </w:r>
    </w:p>
    <w:p>
      <w:pPr>
        <w:pStyle w:val="T1"/>
        <w:jc w:val="start"/>
        <w:rPr>
          <w:lang w:val="nl-NL"/>
        </w:rPr>
      </w:pPr>
      <w:r>
        <w:rPr>
          <w:lang w:val="nl-NL"/>
        </w:rPr>
      </w:r>
    </w:p>
    <w:p>
      <w:pPr>
        <w:pStyle w:val="T1"/>
        <w:jc w:val="start"/>
        <w:rPr>
          <w:lang w:val="nl-NL"/>
        </w:rPr>
      </w:pPr>
      <w:r>
        <w:rPr>
          <w:lang w:val="nl-NL"/>
        </w:rPr>
        <w:t>J. Doornbos 1906</w:t>
      </w:r>
    </w:p>
    <w:p>
      <w:pPr>
        <w:pStyle w:val="T1"/>
        <w:jc w:val="start"/>
        <w:rPr>
          <w:lang w:val="nl-NL"/>
        </w:rPr>
      </w:pPr>
      <w:r>
        <w:rPr>
          <w:lang w:val="nl-NL"/>
        </w:rPr>
        <w:t>.</w:t>
        <w:tab/>
        <w:t>orgel hersteld na waterschade tijdens kerkrestauratie</w:t>
      </w:r>
    </w:p>
    <w:p>
      <w:pPr>
        <w:pStyle w:val="T1"/>
        <w:jc w:val="start"/>
        <w:rPr>
          <w:lang w:val="nl-NL"/>
        </w:rPr>
      </w:pPr>
      <w:r>
        <w:rPr>
          <w:lang w:val="nl-NL"/>
        </w:rPr>
      </w:r>
    </w:p>
    <w:p>
      <w:pPr>
        <w:pStyle w:val="T1"/>
        <w:jc w:val="start"/>
        <w:rPr>
          <w:lang w:val="nl-NL"/>
        </w:rPr>
      </w:pPr>
      <w:r>
        <w:rPr>
          <w:lang w:val="nl-NL"/>
        </w:rPr>
        <w:t>A. Bik 1946</w:t>
      </w:r>
    </w:p>
    <w:p>
      <w:pPr>
        <w:pStyle w:val="T1"/>
        <w:jc w:val="start"/>
        <w:rPr>
          <w:lang w:val="nl-NL"/>
        </w:rPr>
      </w:pPr>
      <w:r>
        <w:rPr>
          <w:lang w:val="nl-NL"/>
        </w:rPr>
        <w:t>.</w:t>
        <w:tab/>
        <w:t>orgel gerestaureerd</w:t>
      </w:r>
    </w:p>
    <w:p>
      <w:pPr>
        <w:pStyle w:val="T1"/>
        <w:jc w:val="start"/>
        <w:rPr>
          <w:lang w:val="nl-NL"/>
        </w:rPr>
      </w:pPr>
      <w:r>
        <w:rPr>
          <w:lang w:val="nl-NL"/>
        </w:rPr>
        <w:t>.</w:t>
        <w:tab/>
        <w:t>tremulant en pedaalkoppel toegevoegd</w:t>
      </w:r>
    </w:p>
    <w:p>
      <w:pPr>
        <w:pStyle w:val="T1"/>
        <w:jc w:val="start"/>
        <w:rPr/>
      </w:pPr>
      <w:r>
        <w:rPr>
          <w:lang w:val="nl-NL"/>
        </w:rPr>
        <w:t>.</w:t>
        <w:tab/>
        <w:t>nieuw handklavier met omvang C-f</w:t>
      </w:r>
      <w:r>
        <w:rPr>
          <w:szCs w:val="24"/>
          <w:vertAlign w:val="superscript"/>
          <w:lang w:val="nl-NL"/>
        </w:rPr>
        <w:t>3</w:t>
      </w:r>
    </w:p>
    <w:p>
      <w:pPr>
        <w:pStyle w:val="T1"/>
        <w:jc w:val="start"/>
        <w:rPr>
          <w:lang w:val="nl-NL"/>
        </w:rPr>
      </w:pPr>
      <w:r>
        <w:rPr>
          <w:lang w:val="nl-NL"/>
        </w:rPr>
        <w:t>.</w:t>
        <w:tab/>
        <w:t>- Trompet 8', + Quint 3'; Bourdon 16' als transmissie op Ped bespeelbaar gemaakt</w:t>
      </w:r>
    </w:p>
    <w:p>
      <w:pPr>
        <w:pStyle w:val="T1"/>
        <w:jc w:val="start"/>
        <w:rPr>
          <w:lang w:val="nl-NL"/>
        </w:rPr>
      </w:pPr>
      <w:r>
        <w:rPr>
          <w:lang w:val="nl-NL"/>
        </w:rPr>
      </w:r>
    </w:p>
    <w:p>
      <w:pPr>
        <w:pStyle w:val="T1"/>
        <w:jc w:val="start"/>
        <w:rPr>
          <w:lang w:val="nl-NL"/>
        </w:rPr>
      </w:pPr>
      <w:r>
        <w:rPr>
          <w:lang w:val="nl-NL"/>
        </w:rPr>
        <w:t>1981</w:t>
      </w:r>
    </w:p>
    <w:p>
      <w:pPr>
        <w:pStyle w:val="T1"/>
        <w:jc w:val="start"/>
        <w:rPr>
          <w:lang w:val="nl-NL"/>
        </w:rPr>
      </w:pPr>
      <w:r>
        <w:rPr>
          <w:lang w:val="nl-NL"/>
        </w:rPr>
        <w:t>.</w:t>
        <w:tab/>
        <w:t>kas opnieuw geschilderd</w:t>
      </w:r>
    </w:p>
    <w:p>
      <w:pPr>
        <w:pStyle w:val="T1"/>
        <w:jc w:val="start"/>
        <w:rPr>
          <w:lang w:val="nl-NL"/>
        </w:rPr>
      </w:pPr>
      <w:r>
        <w:rPr>
          <w:lang w:val="nl-NL"/>
        </w:rPr>
      </w:r>
    </w:p>
    <w:p>
      <w:pPr>
        <w:pStyle w:val="T1"/>
        <w:jc w:val="start"/>
        <w:rPr>
          <w:lang w:val="nl-NL"/>
        </w:rPr>
      </w:pPr>
      <w:r>
        <w:rPr>
          <w:lang w:val="nl-NL"/>
        </w:rPr>
        <w:t>Mense Ruiter 1982</w:t>
      </w:r>
    </w:p>
    <w:p>
      <w:pPr>
        <w:pStyle w:val="T1"/>
        <w:jc w:val="start"/>
        <w:rPr>
          <w:lang w:val="nl-NL"/>
        </w:rPr>
      </w:pPr>
      <w:r>
        <w:rPr>
          <w:lang w:val="nl-NL"/>
        </w:rPr>
        <w:t>.</w:t>
        <w:tab/>
        <w:t>restauratie</w:t>
      </w:r>
    </w:p>
    <w:p>
      <w:pPr>
        <w:pStyle w:val="T1"/>
        <w:jc w:val="start"/>
        <w:rPr>
          <w:lang w:val="nl-NL"/>
        </w:rPr>
      </w:pPr>
      <w:r>
        <w:rPr>
          <w:lang w:val="nl-NL"/>
        </w:rPr>
        <w:t>.</w:t>
        <w:tab/>
        <w:t>tremulant, pedaalkoppel en transmissie verwijderd</w:t>
      </w:r>
    </w:p>
    <w:p>
      <w:pPr>
        <w:pStyle w:val="T1"/>
        <w:jc w:val="start"/>
        <w:rPr/>
      </w:pPr>
      <w:r>
        <w:rPr>
          <w:lang w:val="nl-NL"/>
        </w:rPr>
        <w:t>.</w:t>
        <w:tab/>
        <w:t>nieuw handklavier met omvang C-c</w:t>
      </w:r>
      <w:r>
        <w:rPr>
          <w:szCs w:val="24"/>
          <w:vertAlign w:val="superscript"/>
          <w:lang w:val="nl-NL"/>
        </w:rPr>
        <w:t>3</w:t>
      </w:r>
      <w:r>
        <w:rPr>
          <w:lang w:val="nl-NL"/>
        </w:rPr>
        <w:t xml:space="preserve"> aangebracht</w:t>
      </w:r>
    </w:p>
    <w:p>
      <w:pPr>
        <w:pStyle w:val="T1"/>
        <w:jc w:val="start"/>
        <w:rPr>
          <w:lang w:val="nl-NL"/>
        </w:rPr>
      </w:pPr>
      <w:r>
        <w:rPr>
          <w:lang w:val="nl-NL"/>
        </w:rPr>
        <w:t>.</w:t>
        <w:tab/>
        <w:t>- Quint 3', + Trompet 8'</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38" w:type="dxa"/>
        <w:jc w:val="start"/>
        <w:tblInd w:w="0" w:type="dxa"/>
        <w:tblLayout w:type="fixed"/>
        <w:tblCellMar>
          <w:top w:w="0" w:type="dxa"/>
          <w:start w:w="70" w:type="dxa"/>
          <w:bottom w:w="0" w:type="dxa"/>
          <w:end w:w="70" w:type="dxa"/>
        </w:tblCellMar>
      </w:tblPr>
      <w:tblGrid>
        <w:gridCol w:w="1488"/>
        <w:gridCol w:w="850"/>
      </w:tblGrid>
      <w:tr>
        <w:trPr/>
        <w:tc>
          <w:tcPr>
            <w:tcW w:w="1488" w:type="dxa"/>
            <w:tcBorders/>
          </w:tcPr>
          <w:p>
            <w:pPr>
              <w:pStyle w:val="T4dispositie"/>
              <w:jc w:val="start"/>
              <w:rPr>
                <w:i/>
                <w:i/>
                <w:iCs/>
                <w:lang w:val="nl-NL"/>
              </w:rPr>
            </w:pPr>
            <w:r>
              <w:rPr>
                <w:i/>
                <w:iCs/>
                <w:lang w:val="nl-NL"/>
              </w:rPr>
              <w:t>Manuaal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 xml:space="preserve">Bourdon </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Fluit</w:t>
            </w:r>
          </w:p>
          <w:p>
            <w:pPr>
              <w:pStyle w:val="T4dispositie"/>
              <w:jc w:val="start"/>
              <w:rPr>
                <w:lang w:val="nl-NL"/>
              </w:rPr>
            </w:pPr>
            <w:r>
              <w:rPr>
                <w:lang w:val="nl-NL"/>
              </w:rPr>
              <w:t>Trompet B</w:t>
            </w:r>
          </w:p>
        </w:tc>
        <w:tc>
          <w:tcPr>
            <w:tcW w:w="85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16'*</w:t>
            </w:r>
          </w:p>
        </w:tc>
      </w:tr>
    </w:tbl>
    <w:p>
      <w:pPr>
        <w:pStyle w:val="T4dispositie"/>
        <w:jc w:val="start"/>
        <w:rPr>
          <w:lang w:val="nl-NL"/>
        </w:rPr>
      </w:pPr>
      <w:r>
        <w:rPr>
          <w:lang w:val="nl-NL"/>
        </w:rPr>
      </w:r>
    </w:p>
    <w:p>
      <w:pPr>
        <w:pStyle w:val="T4dispositie"/>
        <w:jc w:val="start"/>
        <w:rPr>
          <w:lang w:val="nl-NL"/>
        </w:rPr>
      </w:pPr>
      <w:r>
        <w:rPr>
          <w:lang w:val="nl-NL"/>
        </w:rPr>
        <w:t>* in werkelijkheid doorlopend 8'</w:t>
      </w:r>
    </w:p>
    <w:p>
      <w:pPr>
        <w:pStyle w:val="T4dispositie"/>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C-c</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(1894)</w:t>
      </w:r>
    </w:p>
    <w:p>
      <w:pPr>
        <w:pStyle w:val="T1"/>
        <w:jc w:val="start"/>
        <w:rPr>
          <w:lang w:val="nl-NL"/>
        </w:rPr>
      </w:pPr>
      <w:r>
        <w:rPr>
          <w:lang w:val="nl-NL"/>
        </w:rPr>
        <w:t>Winddruk</w:t>
      </w:r>
    </w:p>
    <w:p>
      <w:pPr>
        <w:pStyle w:val="T1"/>
        <w:jc w:val="start"/>
        <w:rPr>
          <w:lang w:val="nl-NL"/>
        </w:rPr>
      </w:pPr>
      <w:r>
        <w:rPr>
          <w:lang w:val="nl-NL"/>
        </w:rPr>
        <w:t>73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magazijnbalg is voorzien van een inspringende vouw en ligt op de galerij links van het orgel.</w:t>
      </w:r>
    </w:p>
    <w:p>
      <w:pPr>
        <w:pStyle w:val="T1"/>
        <w:jc w:val="start"/>
        <w:rPr>
          <w:lang w:val="nl-NL"/>
        </w:rPr>
      </w:pPr>
      <w:r>
        <w:rPr>
          <w:lang w:val="nl-NL"/>
        </w:rPr>
        <w:t>De registertrekkers (met porseleinen naamplaatjes en vierkante eiken trekstokken) bevinden zich in een horizontale rij boven de lessenaarbak. Aan de frontzijde zijn nog de dichtgemaakte gaten voor de niet meer aanwezige trekkers van Subbas en tremulant zichtbaar.</w:t>
      </w:r>
    </w:p>
    <w:p>
      <w:pPr>
        <w:pStyle w:val="T1"/>
        <w:jc w:val="start"/>
        <w:rPr>
          <w:lang w:val="nl-NL"/>
        </w:rPr>
      </w:pPr>
      <w:r>
        <w:rPr>
          <w:lang w:val="nl-NL"/>
        </w:rPr>
        <w:t>Bij de bouw van het orgel heeft Doornbos gebruik gemaakt van een bestaande windlade (met drie deels inliggende voorslagen, elk vastgezet met zes messing haken). Deze lade is toegeschreven aan A.A. Hinsz. De indeling is als volgt: ‘middentoren’ (C-F), ‘zijtorens’ 2 x 4 pijpen (Fis-g), de overige pijpen vanaf de ‘middentoren’ naar beide zijden aflopend. Het huidige frontschema is 7-9-7-9-7. Onder de windlade een eiken walsraam met grenen wellen en metalen walsarmpjes</w:t>
      </w:r>
    </w:p>
    <w:p>
      <w:pPr>
        <w:pStyle w:val="T1"/>
        <w:jc w:val="start"/>
        <w:rPr/>
      </w:pPr>
      <w:r>
        <w:rPr>
          <w:lang w:val="nl-NL"/>
        </w:rPr>
        <w:t>Het aanwezige houten pijpwerk is van grenen met eiken stoppen; het metalen pijpwerk is niet steeds homogeen van karakter (mogelijk is ook enige ouder materiaal gebruikt) en vrij slordig van makelij. De Bourdon 16' en de Holpijp 8' zijn geheel van hout (gedekt) en deels van de lade afgevoerd. De Prestant 8' staat van C-d</w:t>
      </w:r>
      <w:r>
        <w:rPr>
          <w:vertAlign w:val="superscript"/>
          <w:lang w:val="nl-NL"/>
        </w:rPr>
        <w:t>2</w:t>
      </w:r>
      <w:r>
        <w:rPr>
          <w:lang w:val="nl-NL"/>
        </w:rPr>
        <w:t xml:space="preserve"> in het front, het vervolg (met stemkrullen) staat op de lade. De Gamba 8' is van C-H gecombineerd met de Holpijp, de overige pijpen zijn van metaal met stemkrullen. Van de Octaaf 4' zijn C-b voorzien van stemkrullen, de overige pijpen zijn op lengte afgesneden. C-B van de Fluit 4' zijn van hout (gedekt), H-d van metaal (gedekt met vastgesoldeerde deksels), het vervolg open, cilindrisch (op lengte). C-Dis van de Fluit 2' zijn van hout (gedekt), E-cis van metaal (gedekt met vastgesoldeerde deksels), de overige pijpen zijn open (op lengte). De Trompet 8' heeft in de bas houten stevels en koppen en metalen bekers. In de discant zijn alleen de stevels van hout.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4">
    <w:name w:val="inhopg 4"/>
    <w:basedOn w:val="Normal"/>
    <w:qFormat/>
    <w:pPr>
      <w:tabs>
        <w:tab w:val="clear" w:pos="708"/>
        <w:tab w:val="right" w:pos="9360" w:leader="dot"/>
      </w:tabs>
      <w:autoSpaceDE w:val="false"/>
      <w:spacing w:lineRule="atLeast" w:line="240"/>
      <w:ind w:start="288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2007-02-13T14:10:00Z</dcterms:created>
  <dc:creator>WS1</dc:creator>
  <dc:description/>
  <dc:language>en-US</dc:language>
  <cp:lastModifiedBy>WS1</cp:lastModifiedBy>
  <cp:lastPrinted>2005-12-14T17:24:00Z</cp:lastPrinted>
  <dcterms:modified xsi:type="dcterms:W3CDTF">2007-02-13T14:10:00Z</dcterms:modified>
  <cp:revision>2</cp:revision>
  <dc:subject/>
  <dc:title>Steenwijk / 1880</dc:title>
</cp:coreProperties>
</file>