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Wouterswoude (Wâlterswâld) / 1894</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Zaalkerk uit 1805, gebouwd tegen 17e-eeuwse toren. Preekstoel uit de bouwtijd.</w:t>
      </w:r>
    </w:p>
    <w:p>
      <w:pPr>
        <w:pStyle w:val="T1"/>
        <w:jc w:val="start"/>
        <w:rPr>
          <w:i/>
          <w:i/>
          <w:iCs/>
          <w:lang w:val="nl-NL"/>
        </w:rPr>
      </w:pPr>
      <w:r>
        <w:rPr>
          <w:i/>
          <w:iCs/>
          <w:lang w:val="nl-NL"/>
        </w:rPr>
      </w:r>
    </w:p>
    <w:p>
      <w:pPr>
        <w:pStyle w:val="T1"/>
        <w:jc w:val="start"/>
        <w:rPr>
          <w:lang w:val="nl-NL"/>
        </w:rPr>
      </w:pPr>
      <w:r>
        <w:rPr>
          <w:lang w:val="nl-NL"/>
        </w:rPr>
        <w:t>Kas: 1894</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Het eerste voorbeeld van een door Bakker &amp; Timmenga zeer veel toegepast front dat varieert op het eerder door deze orgelmakers toegepaste Adema-type. In het orgel in de Hervormde Kerk te Wons (1891, deel 1886-1894, 244-246) werden de gebruikelijke rondbogige benedenvelden weggelaten; de scheiding tussen de etages van de velden is een samenstel van S-ranken. In Wouterswoude zijn de tussenvelden weer vlak geworden en de benedenvelden door een halve boog worden afgesloten. De scheiding tussen de etages wordt bewerkstelligd door een driehoekig paneel, van boven recht, van onder gebogen.</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iCs/>
          <w:lang w:val="nl-NL"/>
        </w:rPr>
        <w:t>Vijf eeuwen Friese orgelbouw</w:t>
      </w:r>
      <w:r>
        <w:rPr>
          <w:lang w:val="nl-NL"/>
        </w:rPr>
        <w:t>. Leeuwarden, 2004, 215.</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pPr>
      <w:r>
        <w:rPr>
          <w:lang w:val="fr-FR"/>
        </w:rPr>
        <w:t xml:space="preserve">A. Bouman, </w:t>
      </w:r>
      <w:r>
        <w:rPr>
          <w:i/>
          <w:iCs/>
          <w:lang w:val="fr-FR"/>
        </w:rPr>
        <w:t>Dispositiecahier VI</w:t>
      </w:r>
      <w:r>
        <w:rPr>
          <w:lang w:val="fr-FR"/>
        </w:rPr>
        <w:t>.</w:t>
      </w:r>
    </w:p>
    <w:p>
      <w:pPr>
        <w:pStyle w:val="T3Lit"/>
        <w:jc w:val="start"/>
        <w:rPr>
          <w:lang w:val="nl-NL"/>
        </w:rPr>
      </w:pPr>
      <w:r>
        <w:rPr>
          <w:lang w:val="nl-NL"/>
        </w:rPr>
        <w:t>Archief Orgelmakerij Bakker &amp; Timmenga, Leeuwarden, HCL.</w:t>
      </w:r>
    </w:p>
    <w:p>
      <w:pPr>
        <w:pStyle w:val="T3Lit"/>
        <w:jc w:val="start"/>
        <w:rPr>
          <w:lang w:val="nl-NL"/>
        </w:rPr>
      </w:pPr>
      <w:r>
        <w:rPr>
          <w:lang w:val="nl-NL"/>
        </w:rPr>
      </w:r>
    </w:p>
    <w:p>
      <w:pPr>
        <w:pStyle w:val="T3Lit"/>
        <w:rPr>
          <w:lang w:val="nl-NL"/>
        </w:rPr>
      </w:pPr>
      <w:r>
        <w:rPr>
          <w:lang w:val="nl-NL"/>
        </w:rPr>
        <w:t>Monumentnummer 11703</w:t>
      </w:r>
    </w:p>
    <w:p>
      <w:pPr>
        <w:pStyle w:val="T3Lit"/>
        <w:rPr>
          <w:lang w:val="nl-NL"/>
        </w:rPr>
      </w:pPr>
      <w:r>
        <w:rPr>
          <w:lang w:val="nl-NL"/>
        </w:rPr>
        <w:t>Orgelnummer 1721</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1894</w:t>
      </w:r>
    </w:p>
    <w:p>
      <w:pPr>
        <w:pStyle w:val="T1"/>
        <w:jc w:val="start"/>
        <w:rPr>
          <w:lang w:val="nl-NL"/>
        </w:rPr>
      </w:pPr>
      <w:r>
        <w:rPr>
          <w:lang w:val="nl-NL"/>
        </w:rPr>
      </w:r>
    </w:p>
    <w:p>
      <w:pPr>
        <w:pStyle w:val="T1"/>
        <w:jc w:val="start"/>
        <w:rPr>
          <w:lang w:val="nl-NL"/>
        </w:rPr>
      </w:pPr>
      <w:r>
        <w:rPr>
          <w:lang w:val="nl-NL"/>
        </w:rPr>
        <w:t>Bakker &amp; Timmenga 1898</w:t>
      </w:r>
    </w:p>
    <w:p>
      <w:pPr>
        <w:pStyle w:val="T1"/>
        <w:numPr>
          <w:ilvl w:val="0"/>
          <w:numId w:val="2"/>
        </w:numPr>
        <w:jc w:val="start"/>
        <w:rPr>
          <w:lang w:val="nl-NL"/>
        </w:rPr>
      </w:pPr>
      <w:r>
        <w:rPr>
          <w:lang w:val="nl-NL"/>
        </w:rPr>
        <w:t>toetsbeleg ondertoetsen handklavier opnieuw verlijmd en van nageltjes voorzien</w:t>
      </w:r>
    </w:p>
    <w:p>
      <w:pPr>
        <w:pStyle w:val="T1"/>
        <w:jc w:val="start"/>
        <w:rPr>
          <w:lang w:val="nl-NL"/>
        </w:rPr>
      </w:pPr>
      <w:r>
        <w:rPr>
          <w:lang w:val="nl-NL"/>
        </w:rPr>
      </w:r>
    </w:p>
    <w:p>
      <w:pPr>
        <w:pStyle w:val="T1"/>
        <w:jc w:val="start"/>
        <w:rPr>
          <w:lang w:val="nl-NL"/>
        </w:rPr>
      </w:pPr>
      <w:r>
        <w:rPr>
          <w:lang w:val="nl-NL"/>
        </w:rPr>
        <w:t>Bakker &amp; Timmenga 1911</w:t>
      </w:r>
    </w:p>
    <w:p>
      <w:pPr>
        <w:pStyle w:val="T1"/>
        <w:numPr>
          <w:ilvl w:val="0"/>
          <w:numId w:val="2"/>
        </w:numPr>
        <w:jc w:val="start"/>
        <w:rPr>
          <w:lang w:val="nl-NL"/>
        </w:rPr>
      </w:pPr>
      <w:r>
        <w:rPr>
          <w:lang w:val="nl-NL"/>
        </w:rPr>
        <w:t>reparatie blaasbalg</w:t>
      </w:r>
    </w:p>
    <w:p>
      <w:pPr>
        <w:pStyle w:val="T1"/>
        <w:jc w:val="start"/>
        <w:rPr>
          <w:lang w:val="nl-NL"/>
        </w:rPr>
      </w:pPr>
      <w:r>
        <w:rPr>
          <w:lang w:val="nl-NL"/>
        </w:rPr>
      </w:r>
    </w:p>
    <w:p>
      <w:pPr>
        <w:pStyle w:val="T1"/>
        <w:jc w:val="start"/>
        <w:rPr>
          <w:lang w:val="nl-NL"/>
        </w:rPr>
      </w:pPr>
      <w:r>
        <w:rPr>
          <w:lang w:val="nl-NL"/>
        </w:rPr>
        <w:t>G. Procee en Tj. Reitsma 1980</w:t>
      </w:r>
    </w:p>
    <w:p>
      <w:pPr>
        <w:pStyle w:val="T1"/>
        <w:numPr>
          <w:ilvl w:val="0"/>
          <w:numId w:val="2"/>
        </w:numPr>
        <w:jc w:val="start"/>
        <w:rPr>
          <w:lang w:val="nl-NL"/>
        </w:rPr>
      </w:pPr>
      <w:r>
        <w:rPr>
          <w:lang w:val="nl-NL"/>
        </w:rPr>
        <w:t>orgel schoongemaakt</w:t>
      </w:r>
    </w:p>
    <w:p>
      <w:pPr>
        <w:pStyle w:val="T1"/>
        <w:numPr>
          <w:ilvl w:val="0"/>
          <w:numId w:val="2"/>
        </w:numPr>
        <w:jc w:val="start"/>
        <w:rPr>
          <w:lang w:val="nl-NL"/>
        </w:rPr>
      </w:pPr>
      <w:r>
        <w:rPr>
          <w:lang w:val="nl-NL"/>
        </w:rPr>
        <w:t>windlade aan de bovenzijde van hechthout dekplaat voorzien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230" w:type="dxa"/>
        <w:jc w:val="start"/>
        <w:tblInd w:w="-70" w:type="dxa"/>
        <w:tblLayout w:type="fixed"/>
        <w:tblCellMar>
          <w:top w:w="0" w:type="dxa"/>
          <w:start w:w="70" w:type="dxa"/>
          <w:bottom w:w="0" w:type="dxa"/>
          <w:end w:w="70" w:type="dxa"/>
        </w:tblCellMar>
      </w:tblPr>
      <w:tblGrid>
        <w:gridCol w:w="1510"/>
        <w:gridCol w:w="720"/>
      </w:tblGrid>
      <w:tr>
        <w:trPr/>
        <w:tc>
          <w:tcPr>
            <w:tcW w:w="1510" w:type="dxa"/>
            <w:tcBorders/>
          </w:tcPr>
          <w:p>
            <w:pPr>
              <w:pStyle w:val="T4dispositie"/>
              <w:rPr>
                <w:i/>
                <w:i/>
                <w:iCs/>
                <w:lang w:val="nl-NL"/>
              </w:rPr>
            </w:pPr>
            <w:r>
              <w:rPr>
                <w:i/>
                <w:iCs/>
                <w:lang w:val="nl-NL"/>
              </w:rPr>
              <w:t>Manuaal</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Mixtuur</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3-4 st.*</w:t>
            </w:r>
          </w:p>
        </w:tc>
      </w:tr>
    </w:tbl>
    <w:p>
      <w:pPr>
        <w:pStyle w:val="T4dispositie"/>
        <w:rPr>
          <w:lang w:val="nl-NL"/>
        </w:rPr>
      </w:pPr>
      <w:r>
        <w:rPr>
          <w:lang w:val="nl-NL"/>
        </w:rPr>
      </w:r>
    </w:p>
    <w:p>
      <w:pPr>
        <w:pStyle w:val="T4dispositie"/>
        <w:rPr>
          <w:lang w:val="nl-NL"/>
        </w:rPr>
      </w:pPr>
      <w:r>
        <w:rPr>
          <w:lang w:val="nl-NL"/>
        </w:rPr>
        <w:t>* in werkelijkheid 2-4 st.</w:t>
      </w:r>
    </w:p>
    <w:p>
      <w:pPr>
        <w:pStyle w:val="T4dispositie"/>
        <w:rPr>
          <w:lang w:val="nl-NL"/>
        </w:rPr>
      </w:pPr>
      <w:r>
        <w:rPr>
          <w:lang w:val="nl-NL"/>
        </w:rPr>
      </w:r>
    </w:p>
    <w:p>
      <w:pPr>
        <w:pStyle w:val="T1"/>
        <w:rPr>
          <w:szCs w:val="24"/>
          <w:lang w:val="nl-NL"/>
        </w:rPr>
      </w:pPr>
      <w:r>
        <w:rPr>
          <w:szCs w:val="24"/>
          <w:lang w:val="nl-NL"/>
        </w:rPr>
        <w:t>Werktuiglijk register</w:t>
      </w:r>
    </w:p>
    <w:p>
      <w:pPr>
        <w:pStyle w:val="T1"/>
        <w:rPr>
          <w:szCs w:val="24"/>
          <w:lang w:val="nl-NL"/>
        </w:rPr>
      </w:pPr>
      <w:r>
        <w:rPr>
          <w:szCs w:val="24"/>
          <w:lang w:val="nl-NL"/>
        </w:rPr>
        <w:t>ventiel</w:t>
      </w:r>
    </w:p>
    <w:p>
      <w:pPr>
        <w:pStyle w:val="T1"/>
        <w:rPr>
          <w:szCs w:val="24"/>
          <w:lang w:val="nl-NL"/>
        </w:rPr>
      </w:pPr>
      <w:r>
        <w:rPr>
          <w:szCs w:val="24"/>
          <w:lang w:val="nl-NL"/>
        </w:rPr>
      </w:r>
    </w:p>
    <w:p>
      <w:pPr>
        <w:pStyle w:val="T1"/>
        <w:rPr>
          <w:szCs w:val="24"/>
          <w:lang w:val="nl-NL"/>
        </w:rPr>
      </w:pPr>
      <w:r>
        <w:rPr>
          <w:szCs w:val="24"/>
          <w:lang w:val="nl-NL"/>
        </w:rPr>
        <w:t>Samenstelling vulstem</w:t>
      </w:r>
    </w:p>
    <w:tbl>
      <w:tblPr>
        <w:tblW w:w="4624" w:type="dxa"/>
        <w:jc w:val="start"/>
        <w:tblInd w:w="-70" w:type="dxa"/>
        <w:tblLayout w:type="fixed"/>
        <w:tblCellMar>
          <w:top w:w="0" w:type="dxa"/>
          <w:start w:w="70" w:type="dxa"/>
          <w:bottom w:w="0" w:type="dxa"/>
          <w:end w:w="70" w:type="dxa"/>
        </w:tblCellMar>
      </w:tblPr>
      <w:tblGrid>
        <w:gridCol w:w="1023"/>
        <w:gridCol w:w="718"/>
        <w:gridCol w:w="718"/>
        <w:gridCol w:w="718"/>
        <w:gridCol w:w="729"/>
        <w:gridCol w:w="718"/>
      </w:tblGrid>
      <w:tr>
        <w:trPr/>
        <w:tc>
          <w:tcPr>
            <w:tcW w:w="1023" w:type="dxa"/>
            <w:tcBorders/>
          </w:tcPr>
          <w:p>
            <w:pPr>
              <w:pStyle w:val="T1"/>
              <w:rPr>
                <w:szCs w:val="24"/>
                <w:lang w:val="nl-NL"/>
              </w:rPr>
            </w:pPr>
            <w:r>
              <w:rPr>
                <w:szCs w:val="24"/>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lang w:val="nl-NL"/>
              </w:rPr>
            </w:pPr>
            <w:r>
              <w:rPr>
                <w:lang w:val="nl-NL"/>
              </w:rPr>
              <w:t>G</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lang w:val="nl-NL"/>
              </w:rPr>
            </w:pPr>
            <w:r>
              <w:rPr>
                <w:lang w:val="nl-NL"/>
              </w:rPr>
              <w:t>g</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g</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g</w:t>
            </w:r>
            <w:r>
              <w:rPr>
                <w:vertAlign w:val="superscript"/>
                <w:lang w:val="nl-NL"/>
              </w:rPr>
              <w:t>2</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rPr>
          <w:szCs w:val="24"/>
          <w:lang w:val="nl-NL"/>
        </w:rPr>
      </w:pPr>
      <w:r>
        <w:rPr>
          <w:szCs w:val="24"/>
          <w:lang w:val="nl-NL"/>
        </w:rPr>
      </w:r>
    </w:p>
    <w:p>
      <w:pPr>
        <w:pStyle w:val="T1"/>
        <w:rPr>
          <w:szCs w:val="24"/>
          <w:lang w:val="nl-NL"/>
        </w:rPr>
      </w:pPr>
      <w:r>
        <w:rPr>
          <w:szCs w:val="24"/>
          <w:lang w:val="nl-NL"/>
        </w:rPr>
        <w:t>Toonhoogte</w:t>
      </w:r>
    </w:p>
    <w:p>
      <w:pPr>
        <w:pStyle w:val="T1"/>
        <w:rPr/>
      </w:pPr>
      <w:r>
        <w:rPr>
          <w:szCs w:val="24"/>
          <w:lang w:val="nl-NL"/>
        </w:rPr>
        <w:t>a</w:t>
      </w:r>
      <w:r>
        <w:rPr>
          <w:szCs w:val="24"/>
          <w:vertAlign w:val="superscript"/>
          <w:lang w:val="nl-NL"/>
        </w:rPr>
        <w:t>1</w:t>
      </w:r>
      <w:r>
        <w:rPr>
          <w:szCs w:val="24"/>
          <w:lang w:val="nl-NL"/>
        </w:rPr>
        <w:t xml:space="preserve"> = 440 Hz</w:t>
      </w:r>
    </w:p>
    <w:p>
      <w:pPr>
        <w:pStyle w:val="T1"/>
        <w:rPr>
          <w:szCs w:val="24"/>
          <w:lang w:val="nl-NL"/>
        </w:rPr>
      </w:pPr>
      <w:r>
        <w:rPr>
          <w:szCs w:val="24"/>
          <w:lang w:val="nl-NL"/>
        </w:rPr>
        <w:t>Temperatuur</w:t>
      </w:r>
    </w:p>
    <w:p>
      <w:pPr>
        <w:pStyle w:val="T1"/>
        <w:rPr>
          <w:szCs w:val="24"/>
          <w:lang w:val="nl-NL"/>
        </w:rPr>
      </w:pPr>
      <w:r>
        <w:rPr>
          <w:szCs w:val="24"/>
          <w:lang w:val="nl-NL"/>
        </w:rPr>
        <w:t>evenredig zwevend</w:t>
      </w:r>
    </w:p>
    <w:p>
      <w:pPr>
        <w:pStyle w:val="T1"/>
        <w:rPr>
          <w:szCs w:val="24"/>
          <w:lang w:val="nl-NL"/>
        </w:rPr>
      </w:pPr>
      <w:r>
        <w:rPr>
          <w:szCs w:val="24"/>
          <w:lang w:val="nl-NL"/>
        </w:rPr>
      </w:r>
    </w:p>
    <w:p>
      <w:pPr>
        <w:pStyle w:val="T1"/>
        <w:rPr>
          <w:szCs w:val="24"/>
          <w:lang w:val="nl-NL"/>
        </w:rPr>
      </w:pPr>
      <w:r>
        <w:rPr>
          <w:szCs w:val="24"/>
          <w:lang w:val="nl-NL"/>
        </w:rPr>
        <w:t>Manuaalomvang</w:t>
      </w:r>
    </w:p>
    <w:p>
      <w:pPr>
        <w:pStyle w:val="T1"/>
        <w:rPr/>
      </w:pPr>
      <w:r>
        <w:rPr>
          <w:szCs w:val="24"/>
          <w:lang w:val="nl-NL"/>
        </w:rPr>
        <w:t>C-e</w:t>
      </w:r>
      <w:r>
        <w:rPr>
          <w:szCs w:val="24"/>
          <w:vertAlign w:val="superscript"/>
          <w:lang w:val="nl-NL"/>
        </w:rPr>
        <w:t>3</w:t>
      </w:r>
    </w:p>
    <w:p>
      <w:pPr>
        <w:pStyle w:val="T1"/>
        <w:rPr>
          <w:szCs w:val="24"/>
          <w:lang w:val="nl-NL"/>
        </w:rPr>
      </w:pPr>
      <w:r>
        <w:rPr>
          <w:szCs w:val="24"/>
          <w:lang w:val="nl-NL"/>
        </w:rPr>
        <w:t>Pedaalomvang</w:t>
      </w:r>
    </w:p>
    <w:p>
      <w:pPr>
        <w:pStyle w:val="T1"/>
        <w:rPr>
          <w:szCs w:val="24"/>
          <w:lang w:val="nl-NL"/>
        </w:rPr>
      </w:pPr>
      <w:r>
        <w:rPr>
          <w:szCs w:val="24"/>
          <w:lang w:val="nl-NL"/>
        </w:rPr>
        <w:t>C-f</w:t>
      </w:r>
    </w:p>
    <w:p>
      <w:pPr>
        <w:pStyle w:val="T1"/>
        <w:rPr>
          <w:szCs w:val="24"/>
          <w:lang w:val="nl-NL"/>
        </w:rPr>
      </w:pPr>
      <w:r>
        <w:rPr>
          <w:szCs w:val="24"/>
          <w:lang w:val="nl-NL"/>
        </w:rPr>
      </w:r>
    </w:p>
    <w:p>
      <w:pPr>
        <w:pStyle w:val="T1"/>
        <w:rPr>
          <w:szCs w:val="24"/>
          <w:lang w:val="nl-NL"/>
        </w:rPr>
      </w:pPr>
      <w:r>
        <w:rPr>
          <w:szCs w:val="24"/>
          <w:lang w:val="nl-NL"/>
        </w:rPr>
        <w:t>Windvoorziening</w:t>
      </w:r>
    </w:p>
    <w:p>
      <w:pPr>
        <w:pStyle w:val="T1"/>
        <w:rPr>
          <w:szCs w:val="24"/>
          <w:lang w:val="nl-NL"/>
        </w:rPr>
      </w:pPr>
      <w:r>
        <w:rPr>
          <w:szCs w:val="24"/>
          <w:lang w:val="nl-NL"/>
        </w:rPr>
        <w:t>magazijnbalg met twee schepbalgen (1894 of ouder)</w:t>
      </w:r>
    </w:p>
    <w:p>
      <w:pPr>
        <w:pStyle w:val="T1"/>
        <w:rPr>
          <w:szCs w:val="24"/>
          <w:lang w:val="nl-NL"/>
        </w:rPr>
      </w:pPr>
      <w:r>
        <w:rPr>
          <w:szCs w:val="24"/>
          <w:lang w:val="nl-NL"/>
        </w:rPr>
        <w:t>Winddruk</w:t>
      </w:r>
    </w:p>
    <w:p>
      <w:pPr>
        <w:pStyle w:val="T1"/>
        <w:rPr>
          <w:szCs w:val="24"/>
          <w:lang w:val="nl-NL"/>
        </w:rPr>
      </w:pPr>
      <w:r>
        <w:rPr>
          <w:szCs w:val="24"/>
          <w:lang w:val="nl-NL"/>
        </w:rPr>
        <w:t>75 mm</w:t>
      </w:r>
    </w:p>
    <w:p>
      <w:pPr>
        <w:pStyle w:val="T1"/>
        <w:rPr>
          <w:szCs w:val="24"/>
          <w:lang w:val="nl-NL"/>
        </w:rPr>
      </w:pPr>
      <w:r>
        <w:rPr>
          <w:szCs w:val="24"/>
          <w:lang w:val="nl-NL"/>
        </w:rPr>
      </w:r>
    </w:p>
    <w:p>
      <w:pPr>
        <w:pStyle w:val="T1"/>
        <w:rPr>
          <w:szCs w:val="24"/>
          <w:lang w:val="nl-NL"/>
        </w:rPr>
      </w:pPr>
      <w:r>
        <w:rPr>
          <w:szCs w:val="24"/>
          <w:lang w:val="nl-NL"/>
        </w:rPr>
        <w:t>Plaats klaviatuur</w:t>
      </w:r>
    </w:p>
    <w:p>
      <w:pPr>
        <w:pStyle w:val="T1"/>
        <w:rPr>
          <w:szCs w:val="24"/>
          <w:lang w:val="nl-NL"/>
        </w:rPr>
      </w:pPr>
      <w:r>
        <w:rPr>
          <w:szCs w:val="24"/>
          <w:lang w:val="nl-NL"/>
        </w:rPr>
        <w:t>linkerzijde</w:t>
      </w:r>
    </w:p>
    <w:p>
      <w:pPr>
        <w:pStyle w:val="T1"/>
        <w:rPr>
          <w:szCs w:val="24"/>
          <w:lang w:val="nl-NL"/>
        </w:rPr>
      </w:pPr>
      <w:r>
        <w:rPr>
          <w:szCs w:val="24"/>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Bij de bouw van het orgel in 1894 is gebruik gemaakt van oudere onderdelen. Dit betreft in elk geval de registerknoppen, het pedaalklavier en de windlade. Mogelijk zijn ook de registeropschriften, de toetsen van het handklavier en de balg ouder.</w:t>
      </w:r>
    </w:p>
    <w:p>
      <w:pPr>
        <w:pStyle w:val="T1"/>
        <w:jc w:val="start"/>
        <w:rPr>
          <w:lang w:val="nl-NL"/>
        </w:rPr>
      </w:pPr>
      <w:r>
        <w:rPr>
          <w:lang w:val="nl-NL"/>
        </w:rPr>
        <w:t>Orgelkas en pijpwerk lijken integraal uit 1894 te dateren. De constructie van de kas wijkt wel af van de vaste gebruiken van de orgelmakers Bakker &amp; Timmenga. Ook is hier en daar ouder hout toegepast, zoals bij twee eiken paneeltjes in de bovenluiken van de rechter zijwand.</w:t>
      </w:r>
    </w:p>
    <w:p>
      <w:pPr>
        <w:pStyle w:val="T1"/>
        <w:jc w:val="start"/>
        <w:rPr/>
      </w:pPr>
      <w:r>
        <w:rPr>
          <w:lang w:val="nl-NL"/>
        </w:rPr>
        <w:t>De tinnen frontpijpen hebben geen zijbaarden. In het front spreken E-g</w:t>
      </w:r>
      <w:r>
        <w:rPr>
          <w:vertAlign w:val="superscript"/>
          <w:lang w:val="nl-NL"/>
        </w:rPr>
        <w:t>1</w:t>
      </w:r>
      <w:r>
        <w:rPr>
          <w:lang w:val="nl-NL"/>
        </w:rPr>
        <w:t xml:space="preserve"> van de Prestant 8'. In de zijtorens zijn enkele pijpen stom. Van de onderste tussenvelden spreekt het merendeel van de pijpen, maar ook hier komen enkele stomme pijpen voor. De bovenste tussenvelden zijn geheel stom.</w:t>
      </w:r>
    </w:p>
    <w:p>
      <w:pPr>
        <w:pStyle w:val="T1"/>
        <w:jc w:val="start"/>
        <w:rPr>
          <w:lang w:val="nl-NL"/>
        </w:rPr>
      </w:pPr>
      <w:r>
        <w:rPr>
          <w:lang w:val="nl-NL"/>
        </w:rPr>
        <w:t>Het handklavier is een eiken staartklavier. De ondertoetsen hebben beleg van celluloid. De totale toetslengte zowel als de lengte van het zichtbare toetsdeel is vrij kort.</w:t>
      </w:r>
    </w:p>
    <w:p>
      <w:pPr>
        <w:pStyle w:val="T1"/>
        <w:jc w:val="start"/>
        <w:rPr>
          <w:lang w:val="nl-NL"/>
        </w:rPr>
      </w:pPr>
      <w:r>
        <w:rPr>
          <w:lang w:val="nl-NL"/>
        </w:rPr>
        <w:t>De knoppen van de sprekende registers zijn in een horizontale rij boven de lessenaar geplaatst. Boven de knoppen zijn separaat per knop rechthoekige houten naamplaatjes aangebracht, hierop zijn de registernamen met goudletters opgeschilderd. Stijl en lettertype hiervan lijken ouder dan 1894 te zijn. De knop van het ventiel bevindt zich links, iets lager dan de onderkant van het handklavier.</w:t>
      </w:r>
    </w:p>
    <w:p>
      <w:pPr>
        <w:pStyle w:val="T1"/>
        <w:jc w:val="start"/>
        <w:rPr>
          <w:lang w:val="nl-NL"/>
        </w:rPr>
      </w:pPr>
      <w:r>
        <w:rPr>
          <w:lang w:val="nl-NL"/>
        </w:rPr>
        <w:t>Het windtoestel is onder in de kas geplaatst. Tegen de achterwand van de kas is een lage uitbouw gemaakt. Tegen de achterwand hiervan is de pompboom gemonteerd. Het windkanaal is van eiken. Het klepje van het ventiel is op het kanaal aangebracht. Het bedieningsmechaniek van deze inrichting is vrijwel compleet, slechts de laatste verbinding tussen de trekstok en het klepje is weggenomen.</w:t>
      </w:r>
    </w:p>
    <w:p>
      <w:pPr>
        <w:pStyle w:val="T1"/>
        <w:jc w:val="start"/>
        <w:rPr/>
      </w:pPr>
      <w:r>
        <w:rPr>
          <w:lang w:val="nl-NL"/>
        </w:rPr>
        <w:t>De windlade is van eiken. De ventielkast is gesloten met vier opliggende voorslagen, vastgezet met palmhouten klemmen op houten bouten. De cancelvolgorde is chromatisch met C aan klaviatuurzijde. Tegen de zijkant van de lade aan linkerzijde zijn op een vervoerstok vijf grote pijpen van de Octaaf 4' en twee pijpen van de Fluit 4' (Cis en Dis) afgevoerd. Van de Prestant 8' zijn C-Dis van hout, open. C en Cis zijn achter de middentoren geplaatst, D en Dis achter de linkerzijtoren. De Holpijp heeft rood geschilderde houten pijpen voor C-H; ze staan boven de lade in twee rijen tegen elkaar. De pijpen hebben rond gedraaide grepen aan de stoppen. De Viola di Gamba 8' is van C-H gecombineerd met de Holpijp. De Fluit 4' is gedekt, fis</w:t>
      </w:r>
      <w:r>
        <w:rPr>
          <w:vertAlign w:val="superscript"/>
          <w:lang w:val="nl-NL"/>
        </w:rPr>
        <w:t>2</w:t>
      </w:r>
      <w:r>
        <w:rPr>
          <w:lang w:val="nl-NL"/>
        </w:rPr>
        <w:t>-e</w:t>
      </w:r>
      <w:r>
        <w:rPr>
          <w:vertAlign w:val="superscript"/>
          <w:lang w:val="nl-NL"/>
        </w:rPr>
        <w:t>3</w:t>
      </w:r>
      <w:r>
        <w:rPr>
          <w:lang w:val="nl-NL"/>
        </w:rPr>
        <w:t xml:space="preserve"> zijn open pijpjes.</w:t>
      </w:r>
    </w:p>
    <w:p>
      <w:pPr>
        <w:pStyle w:val="T1"/>
        <w:jc w:val="start"/>
        <w:rPr/>
      </w:pPr>
      <w:r>
        <w:rPr>
          <w:lang w:val="nl-NL"/>
        </w:rPr>
        <w:t>Het binnenpijpwerk lijkt geheel of grotendeels toegeleverd te zijn. De labiumvorm is overwegend spits geritst. Bij de Viola di Gamba zijn in de discant geen zijbaarden toegepast. Expressions komen voor bij alle binnenpijpen van Prestant en Viola di Gamba en verder bij de Octaaf 4' (C-h</w:t>
      </w:r>
      <w:r>
        <w:rPr>
          <w:vertAlign w:val="superscript"/>
          <w:lang w:val="nl-NL"/>
        </w:rPr>
        <w:t>1</w:t>
      </w:r>
      <w:r>
        <w:rPr>
          <w:lang w:val="nl-NL"/>
        </w:rPr>
        <w:t>), de Octaaf 2' (C-cis</w:t>
      </w:r>
      <w:r>
        <w:rPr>
          <w:vertAlign w:val="superscript"/>
          <w:lang w:val="nl-NL"/>
        </w:rPr>
        <w:t>1</w:t>
      </w:r>
      <w:r>
        <w:rPr>
          <w:lang w:val="nl-NL"/>
        </w:rPr>
        <w:t>) en bij de Mixtuur (tot 2/3' lengte).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2008-05-05T12:17:00Z</dcterms:created>
  <dc:creator>WS1</dc:creator>
  <dc:description/>
  <dc:language>en-US</dc:language>
  <cp:lastModifiedBy>NIvO</cp:lastModifiedBy>
  <dcterms:modified xsi:type="dcterms:W3CDTF">2008-07-21T11:22:00Z</dcterms:modified>
  <cp:revision>3</cp:revision>
  <dc:subject/>
  <dc:title>Olst / 1880</dc:title>
</cp:coreProperties>
</file>