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lang w:val="en-US"/>
        </w:rPr>
      </w:pPr>
      <w:r>
        <w:rPr>
          <w:lang w:val="en-US"/>
        </w:rPr>
        <w:t>Brummen / 1895</w:t>
      </w:r>
    </w:p>
    <w:p>
      <w:pPr>
        <w:pStyle w:val="Heading2"/>
        <w:rPr>
          <w:i w:val="false"/>
          <w:i w:val="false"/>
          <w:iCs/>
          <w:lang w:val="en-US"/>
        </w:rPr>
      </w:pPr>
      <w:r>
        <w:rPr>
          <w:i w:val="false"/>
          <w:iCs/>
          <w:lang w:val="en-US"/>
        </w:rPr>
        <w:t>R.K. St-Andreaskerk</w:t>
      </w:r>
    </w:p>
    <w:p>
      <w:pPr>
        <w:pStyle w:val="T1"/>
        <w:jc w:val="start"/>
        <w:rPr>
          <w:i/>
          <w:i/>
          <w:iCs/>
          <w:lang w:val="en-US"/>
        </w:rPr>
      </w:pPr>
      <w:r>
        <w:rPr>
          <w:i/>
          <w:iCs/>
          <w:lang w:val="en-US"/>
        </w:rPr>
      </w:r>
    </w:p>
    <w:p>
      <w:pPr>
        <w:pStyle w:val="T1"/>
        <w:jc w:val="start"/>
        <w:rPr>
          <w:i/>
          <w:i/>
          <w:iCs/>
          <w:lang w:val="nl-NL"/>
        </w:rPr>
      </w:pPr>
      <w:r>
        <w:rPr>
          <w:i/>
          <w:iCs/>
          <w:lang w:val="nl-NL"/>
        </w:rPr>
        <w:t>Kerk uit 1960-1961 door P.H.A. Starmans ter vervanging van een gebouw uit 1838.</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zeer strakke versie van een tweedelig orgel, bestaande uit twee rechthoekige blokken. De kas werd vervaardigd door H. Jansen uit Brummen. In tegenstelling tot de strenge hoofdvorm is de neogotische decoratie zeer sierlijk en gebaseerd op de late flamboyante gotiek. De pijpvelden hebben de vorm van een kielboog die wordt versierd door tootbogen, waarin op hun beurt kleinere tootbogen zijn aangebracht. In de boogzwikken twee rozetten met sierlijk wentelend traceerwerk. Daarboven een rondgaand fries met elkaar snijdende gotische rondbogen. Een kantelenrand sluit het geheel af. In het benedendeel van de beide fronten zijn briefpanelen aangebracht. Vermeldenswaard is nog het fraai gesmede hang- en sluitwerk.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Gedenkboek en parochiegids van Kerk en Parochie St. Andreas Brummen ter gelegenheid van het Eeuwfeest van de Parochie 25 maart 1955</w:t>
      </w:r>
      <w:r>
        <w:rPr>
          <w:iCs/>
          <w:lang w:val="nl-NL"/>
        </w:rPr>
        <w:t>.</w:t>
      </w:r>
    </w:p>
    <w:p>
      <w:pPr>
        <w:pStyle w:val="T3Lit"/>
        <w:jc w:val="start"/>
        <w:rPr/>
      </w:pPr>
      <w:r>
        <w:rPr>
          <w:i/>
          <w:lang w:val="nl-NL"/>
        </w:rPr>
        <w:t>De Mixtuur,</w:t>
      </w:r>
      <w:r>
        <w:rPr>
          <w:lang w:val="nl-NL"/>
        </w:rPr>
        <w:t xml:space="preserve"> 41 (1983), 429-430.</w:t>
      </w:r>
    </w:p>
    <w:p>
      <w:pPr>
        <w:pStyle w:val="T3Lit"/>
        <w:jc w:val="start"/>
        <w:rPr/>
      </w:pPr>
      <w:r>
        <w:rPr>
          <w:i/>
          <w:iCs/>
          <w:lang w:val="nl-NL"/>
        </w:rPr>
        <w:t>Het Orgel</w:t>
      </w:r>
      <w:r>
        <w:rPr>
          <w:lang w:val="nl-NL"/>
        </w:rPr>
        <w:t>, 10/9 (1895), 104.</w:t>
      </w:r>
    </w:p>
    <w:p>
      <w:pPr>
        <w:pStyle w:val="T3Lit"/>
        <w:rPr>
          <w:lang w:val="nl-NL"/>
        </w:rPr>
      </w:pPr>
      <w:r>
        <w:rPr>
          <w:lang w:val="nl-NL"/>
        </w:rPr>
      </w:r>
    </w:p>
    <w:p>
      <w:pPr>
        <w:pStyle w:val="T3Lit"/>
        <w:rPr>
          <w:lang w:val="nl-NL"/>
        </w:rPr>
      </w:pPr>
      <w:r>
        <w:rPr>
          <w:lang w:val="nl-NL"/>
        </w:rPr>
        <w:t>Orgelnummer 248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N.S. Leijser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pPr>
      <w:r>
        <w:rPr>
          <w:lang w:val="nl-NL"/>
        </w:rPr>
        <w:t xml:space="preserve">Dispositie volgens </w:t>
      </w:r>
      <w:r>
        <w:rPr>
          <w:i/>
          <w:iCs/>
          <w:lang w:val="nl-NL"/>
        </w:rPr>
        <w:t>Het Orgel</w:t>
      </w:r>
      <w:r>
        <w:rPr/>
        <w:t xml:space="preserve"> 1895</w:t>
      </w:r>
    </w:p>
    <w:tbl>
      <w:tblPr>
        <w:tblW w:w="6490" w:type="dxa"/>
        <w:jc w:val="start"/>
        <w:tblInd w:w="-70" w:type="dxa"/>
        <w:tblLayout w:type="fixed"/>
        <w:tblCellMar>
          <w:top w:w="0" w:type="dxa"/>
          <w:start w:w="70" w:type="dxa"/>
          <w:bottom w:w="0" w:type="dxa"/>
          <w:end w:w="70" w:type="dxa"/>
        </w:tblCellMar>
      </w:tblPr>
      <w:tblGrid>
        <w:gridCol w:w="1914"/>
        <w:gridCol w:w="631"/>
        <w:gridCol w:w="1690"/>
        <w:gridCol w:w="515"/>
        <w:gridCol w:w="1440"/>
        <w:gridCol w:w="300"/>
      </w:tblGrid>
      <w:tr>
        <w:trPr/>
        <w:tc>
          <w:tcPr>
            <w:tcW w:w="1914" w:type="dxa"/>
            <w:tcBorders/>
          </w:tcPr>
          <w:p>
            <w:pPr>
              <w:pStyle w:val="T4dispositie"/>
              <w:rPr>
                <w:i/>
                <w:i/>
                <w:iCs/>
                <w:lang w:val="fr-FR"/>
              </w:rPr>
            </w:pPr>
            <w:r>
              <w:rPr>
                <w:i/>
                <w:iCs/>
                <w:lang w:val="fr-FR"/>
              </w:rPr>
              <w:t>Manuaal</w:t>
            </w:r>
          </w:p>
          <w:p>
            <w:pPr>
              <w:pStyle w:val="T4dispositie"/>
              <w:rPr>
                <w:lang w:val="fr-FR"/>
              </w:rPr>
            </w:pPr>
            <w:r>
              <w:rPr>
                <w:lang w:val="fr-FR"/>
              </w:rPr>
              <w:t>Prestant</w:t>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Fluit</w:t>
            </w:r>
          </w:p>
          <w:p>
            <w:pPr>
              <w:pStyle w:val="T4dispositie"/>
              <w:rPr>
                <w:lang w:val="fr-FR"/>
              </w:rPr>
            </w:pPr>
            <w:r>
              <w:rPr>
                <w:lang w:val="fr-FR"/>
              </w:rPr>
              <w:t>Octaaf</w:t>
            </w:r>
          </w:p>
          <w:p>
            <w:pPr>
              <w:pStyle w:val="T4dispositie"/>
              <w:rPr>
                <w:lang w:val="fr-FR"/>
              </w:rPr>
            </w:pPr>
            <w:r>
              <w:rPr>
                <w:lang w:val="fr-FR"/>
              </w:rPr>
              <w:t>Hautbois</w:t>
            </w:r>
          </w:p>
        </w:tc>
        <w:tc>
          <w:tcPr>
            <w:tcW w:w="631" w:type="dxa"/>
            <w:tcBorders/>
          </w:tcPr>
          <w:p>
            <w:pPr>
              <w:pStyle w:val="T4dispositie"/>
              <w:snapToGrid w:val="false"/>
              <w:rPr>
                <w:lang w:val="fr-FR"/>
              </w:rPr>
            </w:pPr>
            <w:r>
              <w:rPr>
                <w:lang w:val="fr-FR"/>
              </w:rPr>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p>
            <w:pPr>
              <w:pStyle w:val="T4dispositie"/>
              <w:rPr>
                <w:lang w:val="fr-FR"/>
              </w:rPr>
            </w:pPr>
            <w:r>
              <w:rPr>
                <w:lang w:val="fr-FR"/>
              </w:rPr>
              <w:t>4'</w:t>
            </w:r>
          </w:p>
          <w:p>
            <w:pPr>
              <w:pStyle w:val="T4dispositie"/>
              <w:rPr/>
            </w:pPr>
            <w:r>
              <w:rPr/>
              <w:t>2'</w:t>
            </w:r>
          </w:p>
          <w:p>
            <w:pPr>
              <w:pStyle w:val="T4dispositie"/>
              <w:rPr/>
            </w:pPr>
            <w:r>
              <w:rPr/>
              <w:t>8'</w:t>
            </w:r>
          </w:p>
        </w:tc>
        <w:tc>
          <w:tcPr>
            <w:tcW w:w="1690" w:type="dxa"/>
            <w:tcBorders/>
          </w:tcPr>
          <w:p>
            <w:pPr>
              <w:pStyle w:val="T4dispositie"/>
              <w:rPr>
                <w:i/>
                <w:i/>
                <w:iCs/>
              </w:rPr>
            </w:pPr>
            <w:r>
              <w:rPr>
                <w:i/>
                <w:iCs/>
              </w:rPr>
              <w:t>Positief</w:t>
            </w:r>
          </w:p>
          <w:p>
            <w:pPr>
              <w:pStyle w:val="T4dispositie"/>
              <w:rPr/>
            </w:pPr>
            <w:r>
              <w:rPr/>
              <w:t>Gamba</w:t>
            </w:r>
          </w:p>
          <w:p>
            <w:pPr>
              <w:pStyle w:val="T4dispositie"/>
              <w:rPr>
                <w:lang w:val="fr-FR"/>
              </w:rPr>
            </w:pPr>
            <w:r>
              <w:rPr>
                <w:lang w:val="fr-FR"/>
              </w:rPr>
              <w:t>Voix céleste</w:t>
            </w:r>
          </w:p>
          <w:p>
            <w:pPr>
              <w:pStyle w:val="T4dispositie"/>
              <w:rPr>
                <w:lang w:val="fr-FR"/>
              </w:rPr>
            </w:pPr>
            <w:r>
              <w:rPr>
                <w:lang w:val="fr-FR"/>
              </w:rPr>
              <w:t>Flute-octaviante</w:t>
            </w:r>
          </w:p>
        </w:tc>
        <w:tc>
          <w:tcPr>
            <w:tcW w:w="515" w:type="dxa"/>
            <w:tcBorders/>
          </w:tcPr>
          <w:p>
            <w:pPr>
              <w:pStyle w:val="T4dispositie"/>
              <w:snapToGrid w:val="false"/>
              <w:rPr>
                <w:lang w:val="fr-FR"/>
              </w:rPr>
            </w:pPr>
            <w:r>
              <w:rPr>
                <w:lang w:val="fr-FR"/>
              </w:rPr>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tc>
        <w:tc>
          <w:tcPr>
            <w:tcW w:w="1440" w:type="dxa"/>
            <w:tcBorders/>
          </w:tcPr>
          <w:p>
            <w:pPr>
              <w:pStyle w:val="T4dispositie"/>
              <w:rPr>
                <w:i/>
                <w:i/>
                <w:lang w:val="nl-NL"/>
              </w:rPr>
            </w:pPr>
            <w:r>
              <w:rPr>
                <w:i/>
                <w:lang w:val="nl-NL"/>
              </w:rPr>
              <w:t>Pedaal separée</w:t>
            </w:r>
          </w:p>
          <w:p>
            <w:pPr>
              <w:pStyle w:val="T4dispositie"/>
              <w:rPr>
                <w:iCs/>
                <w:lang w:val="nl-NL"/>
              </w:rPr>
            </w:pPr>
            <w:r>
              <w:rPr>
                <w:iCs/>
                <w:lang w:val="nl-NL"/>
              </w:rPr>
              <w:t>Viool</w:t>
            </w:r>
          </w:p>
          <w:p>
            <w:pPr>
              <w:pStyle w:val="T4dispositie"/>
              <w:rPr>
                <w:i/>
                <w:i/>
                <w:lang w:val="nl-NL"/>
              </w:rPr>
            </w:pPr>
            <w:r>
              <w:rPr>
                <w:iCs/>
                <w:lang w:val="nl-NL"/>
              </w:rPr>
              <w:t>Prestant</w:t>
            </w:r>
          </w:p>
        </w:tc>
        <w:tc>
          <w:tcPr>
            <w:tcW w:w="300" w:type="dxa"/>
            <w:tcBorders/>
          </w:tcPr>
          <w:p>
            <w:pPr>
              <w:pStyle w:val="T4dispositie"/>
              <w:snapToGrid w:val="false"/>
              <w:rPr>
                <w:i/>
                <w:i/>
                <w:lang w:val="nl-NL"/>
              </w:rPr>
            </w:pPr>
            <w:r>
              <w:rPr>
                <w:i/>
                <w:lang w:val="nl-NL"/>
              </w:rPr>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koppelingen Man-Pos, Ped-Man, Ped-Pos</w:t>
      </w:r>
    </w:p>
    <w:p>
      <w:pPr>
        <w:pStyle w:val="T4dispositie"/>
        <w:rPr>
          <w:lang w:val="nl-NL"/>
        </w:rPr>
      </w:pPr>
      <w:r>
        <w:rPr>
          <w:lang w:val="nl-NL"/>
        </w:rPr>
        <w:t>crescendokast</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jaloezieën zwelkast verwijderd</w:t>
      </w:r>
    </w:p>
    <w:p>
      <w:pPr>
        <w:pStyle w:val="T1"/>
        <w:jc w:val="start"/>
        <w:rPr>
          <w:lang w:val="nl-NL"/>
        </w:rPr>
      </w:pPr>
      <w:r>
        <w:rPr>
          <w:lang w:val="nl-NL"/>
        </w:rPr>
      </w:r>
    </w:p>
    <w:p>
      <w:pPr>
        <w:pStyle w:val="T1"/>
        <w:jc w:val="start"/>
        <w:rPr>
          <w:lang w:val="nl-NL"/>
        </w:rPr>
      </w:pPr>
      <w:r>
        <w:rPr>
          <w:lang w:val="nl-NL"/>
        </w:rPr>
        <w:t>1961</w:t>
      </w:r>
    </w:p>
    <w:p>
      <w:pPr>
        <w:pStyle w:val="T1"/>
        <w:numPr>
          <w:ilvl w:val="0"/>
          <w:numId w:val="3"/>
        </w:numPr>
        <w:jc w:val="start"/>
        <w:rPr>
          <w:lang w:val="nl-NL"/>
        </w:rPr>
      </w:pPr>
      <w:r>
        <w:rPr>
          <w:lang w:val="nl-NL"/>
        </w:rPr>
        <w:t>orgel overgeplaatst naar huidige kerkgebouw</w:t>
      </w:r>
    </w:p>
    <w:p>
      <w:pPr>
        <w:pStyle w:val="T1"/>
        <w:numPr>
          <w:ilvl w:val="0"/>
          <w:numId w:val="3"/>
        </w:numPr>
        <w:jc w:val="start"/>
        <w:rPr>
          <w:lang w:val="nl-NL"/>
        </w:rPr>
      </w:pPr>
      <w:r>
        <w:rPr>
          <w:lang w:val="nl-NL"/>
        </w:rPr>
        <w:t>mogelijk bij die gelegenheid frontpijpen en Ped verwijderd</w:t>
      </w:r>
    </w:p>
    <w:p>
      <w:pPr>
        <w:pStyle w:val="T1"/>
        <w:jc w:val="start"/>
        <w:rPr>
          <w:lang w:val="nl-NL"/>
        </w:rPr>
      </w:pPr>
      <w:r>
        <w:rPr>
          <w:lang w:val="nl-NL"/>
        </w:rPr>
      </w:r>
    </w:p>
    <w:p>
      <w:pPr>
        <w:pStyle w:val="T1"/>
        <w:jc w:val="start"/>
        <w:rPr>
          <w:lang w:val="nl-NL"/>
        </w:rPr>
      </w:pPr>
      <w:r>
        <w:rPr>
          <w:lang w:val="nl-NL"/>
        </w:rPr>
        <w:t xml:space="preserve"> </w:t>
      </w:r>
      <w:r>
        <w:rPr>
          <w:lang w:val="nl-NL"/>
        </w:rPr>
        <w:t>J.J. Elbertse &amp; Zn 1982</w:t>
      </w:r>
    </w:p>
    <w:p>
      <w:pPr>
        <w:pStyle w:val="T1"/>
        <w:numPr>
          <w:ilvl w:val="0"/>
          <w:numId w:val="2"/>
        </w:numPr>
        <w:jc w:val="start"/>
        <w:rPr>
          <w:lang w:val="nl-NL"/>
        </w:rPr>
      </w:pPr>
      <w:r>
        <w:rPr>
          <w:lang w:val="nl-NL"/>
        </w:rPr>
        <w:t>orgel gerestaureerd en uitgebreid met vrij Ped</w:t>
      </w:r>
    </w:p>
    <w:p>
      <w:pPr>
        <w:pStyle w:val="T1"/>
        <w:numPr>
          <w:ilvl w:val="0"/>
          <w:numId w:val="2"/>
        </w:numPr>
        <w:jc w:val="start"/>
        <w:rPr>
          <w:lang w:val="nl-NL"/>
        </w:rPr>
      </w:pPr>
      <w:r>
        <w:rPr>
          <w:lang w:val="nl-NL"/>
        </w:rPr>
        <w:t>nieuwe windvoorziening</w:t>
      </w:r>
    </w:p>
    <w:p>
      <w:pPr>
        <w:pStyle w:val="T1"/>
        <w:numPr>
          <w:ilvl w:val="0"/>
          <w:numId w:val="2"/>
        </w:numPr>
        <w:jc w:val="start"/>
        <w:rPr>
          <w:lang w:val="nl-NL"/>
        </w:rPr>
      </w:pPr>
      <w:r>
        <w:rPr>
          <w:lang w:val="nl-NL"/>
        </w:rPr>
        <w:t>HW C-cis Prestant 8' nieuw gemaakt (D-cis in front)</w:t>
      </w:r>
    </w:p>
    <w:p>
      <w:pPr>
        <w:pStyle w:val="T1"/>
        <w:numPr>
          <w:ilvl w:val="0"/>
          <w:numId w:val="2"/>
        </w:numPr>
        <w:jc w:val="start"/>
        <w:rPr>
          <w:lang w:val="fr-FR"/>
        </w:rPr>
      </w:pPr>
      <w:r>
        <w:rPr>
          <w:lang w:val="fr-FR"/>
        </w:rPr>
        <w:t>NW - Voix céleste 8', + Holpijp 8'</w:t>
      </w:r>
    </w:p>
    <w:p>
      <w:pPr>
        <w:pStyle w:val="T1"/>
        <w:jc w:val="start"/>
        <w:rPr>
          <w:lang w:val="fr-FR"/>
        </w:rPr>
      </w:pPr>
      <w:r>
        <w:rPr>
          <w:lang w:val="fr-F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914"/>
        <w:gridCol w:w="631"/>
        <w:gridCol w:w="1690"/>
        <w:gridCol w:w="718"/>
        <w:gridCol w:w="1057"/>
        <w:gridCol w:w="540"/>
      </w:tblGrid>
      <w:tr>
        <w:trPr/>
        <w:tc>
          <w:tcPr>
            <w:tcW w:w="1914" w:type="dxa"/>
            <w:tcBorders/>
          </w:tcPr>
          <w:p>
            <w:pPr>
              <w:pStyle w:val="T4dispositie"/>
              <w:rPr>
                <w:i/>
                <w:i/>
                <w:iCs/>
                <w:lang w:val="nl-NL"/>
              </w:rPr>
            </w:pPr>
            <w:r>
              <w:rPr>
                <w:i/>
                <w:iCs/>
                <w:lang w:val="nl-NL"/>
              </w:rPr>
              <w:t>Hoofdwerk (I)</w:t>
            </w:r>
          </w:p>
          <w:p>
            <w:pPr>
              <w:pStyle w:val="T4dispositie"/>
              <w:rPr>
                <w:lang w:val="fr-FR"/>
              </w:rPr>
            </w:pPr>
            <w:r>
              <w:rPr>
                <w:lang w:val="fr-FR"/>
              </w:rPr>
              <w:t>6 stemmen</w:t>
            </w:r>
          </w:p>
          <w:p>
            <w:pPr>
              <w:pStyle w:val="T4dispositie"/>
              <w:rPr>
                <w:lang w:val="fr-FR"/>
              </w:rPr>
            </w:pPr>
            <w:r>
              <w:rPr>
                <w:lang w:val="fr-FR"/>
              </w:rPr>
            </w:r>
          </w:p>
          <w:p>
            <w:pPr>
              <w:pStyle w:val="T4dispositie"/>
              <w:rPr>
                <w:lang w:val="fr-FR"/>
              </w:rPr>
            </w:pPr>
            <w:r>
              <w:rPr>
                <w:lang w:val="fr-FR"/>
              </w:rPr>
              <w:t>Montre</w:t>
            </w:r>
          </w:p>
          <w:p>
            <w:pPr>
              <w:pStyle w:val="T4dispositie"/>
              <w:rPr>
                <w:lang w:val="fr-FR"/>
              </w:rPr>
            </w:pPr>
            <w:r>
              <w:rPr>
                <w:lang w:val="fr-FR"/>
              </w:rPr>
              <w:t>Bourdon</w:t>
            </w:r>
          </w:p>
          <w:p>
            <w:pPr>
              <w:pStyle w:val="T4dispositie"/>
              <w:rPr>
                <w:lang w:val="fr-FR"/>
              </w:rPr>
            </w:pPr>
            <w:r>
              <w:rPr>
                <w:lang w:val="fr-FR"/>
              </w:rPr>
              <w:t>Prestant</w:t>
            </w:r>
          </w:p>
          <w:p>
            <w:pPr>
              <w:pStyle w:val="T4dispositie"/>
              <w:rPr/>
            </w:pPr>
            <w:r>
              <w:rPr/>
              <w:t>Flute</w:t>
            </w:r>
          </w:p>
          <w:p>
            <w:pPr>
              <w:pStyle w:val="T4dispositie"/>
              <w:rPr/>
            </w:pPr>
            <w:r>
              <w:rPr/>
              <w:t>Octave</w:t>
            </w:r>
          </w:p>
          <w:p>
            <w:pPr>
              <w:pStyle w:val="T4dispositie"/>
              <w:rPr/>
            </w:pPr>
            <w:r>
              <w:rPr/>
              <w:t>Basson-Hautbois B/D</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p>
            <w:pPr>
              <w:pStyle w:val="T4dispositie"/>
              <w:rPr/>
            </w:pPr>
            <w:r>
              <w:rPr/>
              <w:t>8'</w:t>
            </w:r>
          </w:p>
        </w:tc>
        <w:tc>
          <w:tcPr>
            <w:tcW w:w="1690" w:type="dxa"/>
            <w:tcBorders/>
          </w:tcPr>
          <w:p>
            <w:pPr>
              <w:pStyle w:val="T4dispositie"/>
              <w:rPr>
                <w:i/>
                <w:i/>
                <w:iCs/>
              </w:rPr>
            </w:pPr>
            <w:r>
              <w:rPr>
                <w:i/>
                <w:iCs/>
              </w:rPr>
              <w:t>Nevenwerk (II)</w:t>
            </w:r>
          </w:p>
          <w:p>
            <w:pPr>
              <w:pStyle w:val="T4dispositie"/>
              <w:rPr/>
            </w:pPr>
            <w:r>
              <w:rPr/>
              <w:t>3 stemmen</w:t>
            </w:r>
          </w:p>
          <w:p>
            <w:pPr>
              <w:pStyle w:val="T4dispositie"/>
              <w:rPr/>
            </w:pPr>
            <w:r>
              <w:rPr/>
            </w:r>
          </w:p>
          <w:p>
            <w:pPr>
              <w:pStyle w:val="T4dispositie"/>
              <w:rPr/>
            </w:pPr>
            <w:r>
              <w:rPr/>
              <w:t>Holpijp</w:t>
            </w:r>
          </w:p>
          <w:p>
            <w:pPr>
              <w:pStyle w:val="T4dispositie"/>
              <w:rPr/>
            </w:pPr>
            <w:r>
              <w:rPr/>
              <w:t>Viola di Gamba</w:t>
            </w:r>
          </w:p>
          <w:p>
            <w:pPr>
              <w:pStyle w:val="T4dispositie"/>
              <w:rPr/>
            </w:pPr>
            <w:r>
              <w:rPr/>
              <w:t>Flute octave</w:t>
            </w:r>
          </w:p>
        </w:tc>
        <w:tc>
          <w:tcPr>
            <w:tcW w:w="718"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4'</w:t>
            </w:r>
          </w:p>
        </w:tc>
        <w:tc>
          <w:tcPr>
            <w:tcW w:w="1057" w:type="dxa"/>
            <w:tcBorders/>
          </w:tcPr>
          <w:p>
            <w:pPr>
              <w:pStyle w:val="T4dispositie"/>
              <w:rPr>
                <w:i/>
                <w:i/>
                <w:lang w:val="nl-NL"/>
              </w:rPr>
            </w:pPr>
            <w:r>
              <w:rPr>
                <w:i/>
                <w:lang w:val="nl-NL"/>
              </w:rPr>
              <w:t>Pedaal</w:t>
            </w:r>
          </w:p>
          <w:p>
            <w:pPr>
              <w:pStyle w:val="T4dispositie"/>
              <w:rPr>
                <w:iCs/>
                <w:lang w:val="nl-NL"/>
              </w:rPr>
            </w:pPr>
            <w:r>
              <w:rPr>
                <w:iCs/>
                <w:lang w:val="nl-NL"/>
              </w:rPr>
              <w:t>3 stemmen</w:t>
            </w:r>
          </w:p>
          <w:p>
            <w:pPr>
              <w:pStyle w:val="T4dispositie"/>
              <w:rPr>
                <w:iCs/>
                <w:lang w:val="nl-NL"/>
              </w:rPr>
            </w:pPr>
            <w:r>
              <w:rPr>
                <w:iCs/>
                <w:lang w:val="nl-NL"/>
              </w:rPr>
            </w:r>
          </w:p>
          <w:p>
            <w:pPr>
              <w:pStyle w:val="T4dispositie"/>
              <w:rPr>
                <w:iCs/>
                <w:lang w:val="nl-NL"/>
              </w:rPr>
            </w:pPr>
            <w:r>
              <w:rPr>
                <w:iCs/>
                <w:lang w:val="nl-NL"/>
              </w:rPr>
              <w:t>Subbas</w:t>
            </w:r>
          </w:p>
          <w:p>
            <w:pPr>
              <w:pStyle w:val="T4dispositie"/>
              <w:rPr>
                <w:iCs/>
                <w:lang w:val="nl-NL"/>
              </w:rPr>
            </w:pPr>
            <w:r>
              <w:rPr>
                <w:iCs/>
                <w:lang w:val="nl-NL"/>
              </w:rPr>
              <w:t>Prestant</w:t>
            </w:r>
          </w:p>
          <w:p>
            <w:pPr>
              <w:pStyle w:val="T4dispositie"/>
              <w:rPr>
                <w:i/>
                <w:i/>
              </w:rPr>
            </w:pPr>
            <w:r>
              <w:rPr>
                <w:iCs/>
              </w:rPr>
              <w:t>Octave</w:t>
            </w:r>
          </w:p>
        </w:tc>
        <w:tc>
          <w:tcPr>
            <w:tcW w:w="540" w:type="dxa"/>
            <w:tcBorders/>
          </w:tcPr>
          <w:p>
            <w:pPr>
              <w:pStyle w:val="T4dispositie"/>
              <w:snapToGrid w:val="false"/>
              <w:rPr>
                <w:i/>
                <w:i/>
              </w:rPr>
            </w:pPr>
            <w:r>
              <w:rPr>
                <w:i/>
              </w:rPr>
            </w:r>
          </w:p>
          <w:p>
            <w:pPr>
              <w:pStyle w:val="T4dispositie"/>
              <w:rPr/>
            </w:pPr>
            <w:r>
              <w:rPr/>
            </w:r>
          </w:p>
          <w:p>
            <w:pPr>
              <w:pStyle w:val="T4dispositie"/>
              <w:rPr/>
            </w:pPr>
            <w:r>
              <w:rPr/>
            </w:r>
          </w:p>
          <w:p>
            <w:pPr>
              <w:pStyle w:val="T4dispositie"/>
              <w:rPr/>
            </w:pPr>
            <w:r>
              <w:rPr/>
              <w:t>16'</w:t>
            </w:r>
          </w:p>
          <w:p>
            <w:pPr>
              <w:pStyle w:val="T4dispositie"/>
              <w:rPr/>
            </w:pPr>
            <w:r>
              <w:rPr/>
              <w:t>8' tr</w:t>
            </w:r>
          </w:p>
          <w:p>
            <w:pPr>
              <w:pStyle w:val="T4dispositie"/>
              <w:rPr>
                <w:lang w:val="nl-NL"/>
              </w:rPr>
            </w:pPr>
            <w:r>
              <w:rPr>
                <w:lang w:val="nl-NL"/>
              </w:rPr>
              <w:t>4'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 Ped-NW</w:t>
      </w:r>
    </w:p>
    <w:p>
      <w:pPr>
        <w:pStyle w:val="T1"/>
        <w:jc w:val="start"/>
        <w:rPr>
          <w:lang w:val="nl-NL"/>
        </w:rPr>
      </w:pPr>
      <w:r>
        <w:rPr>
          <w:lang w:val="nl-NL"/>
        </w:rPr>
        <w:t>trede zwelkast (buiten gebruik)</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twee regulateurs</w:t>
      </w:r>
    </w:p>
    <w:p>
      <w:pPr>
        <w:pStyle w:val="T1"/>
        <w:jc w:val="start"/>
        <w:rPr>
          <w:lang w:val="nl-NL"/>
        </w:rPr>
      </w:pPr>
      <w:r>
        <w:rPr>
          <w:lang w:val="nl-NL"/>
        </w:rPr>
        <w:t>Winddruk</w:t>
      </w:r>
    </w:p>
    <w:p>
      <w:pPr>
        <w:pStyle w:val="T1"/>
        <w:jc w:val="start"/>
        <w:rPr>
          <w:lang w:val="nl-NL"/>
        </w:rPr>
      </w:pPr>
      <w:r>
        <w:rPr>
          <w:lang w:val="nl-NL"/>
        </w:rPr>
        <w:t>69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tussen beide kassen</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zijn voorzien van porseleinen naamplaatjes. De koppelingen zijn uitgevoerd als treden. De magazijnbalg bevindt zich in de linkerkas; elke lade heeft een eigen regulateur.</w:t>
      </w:r>
    </w:p>
    <w:p>
      <w:pPr>
        <w:pStyle w:val="T1"/>
        <w:jc w:val="start"/>
        <w:rPr>
          <w:lang w:val="nl-NL"/>
        </w:rPr>
      </w:pPr>
      <w:r>
        <w:rPr>
          <w:lang w:val="nl-NL"/>
        </w:rPr>
        <w:t>Het pijpwerk is opgesteld op gecombineerde laden voor HW en NW. Daarbij is de C-lade in de rechter-, en de Cis-lade in de linkerkas geplaatst. De Subbas 16' staat verdeeld in C- en Cis-zijde achter de beide kassen.</w:t>
      </w:r>
    </w:p>
    <w:p>
      <w:pPr>
        <w:pStyle w:val="T1"/>
        <w:jc w:val="start"/>
        <w:rPr/>
      </w:pPr>
      <w:r>
        <w:rPr>
          <w:lang w:val="nl-NL"/>
        </w:rPr>
        <w:t>Volgens overlevering zou het pijpwerk van de hand van de firma Pereboom &amp; Leijser te Maastricht zijn. De Flute 4' van het HW is van C-G gedekt en heeft van Gis-g</w:t>
      </w:r>
      <w:r>
        <w:rPr>
          <w:vertAlign w:val="superscript"/>
          <w:lang w:val="nl-NL"/>
        </w:rPr>
        <w:t>1</w:t>
      </w:r>
      <w:r>
        <w:rPr>
          <w:lang w:val="nl-NL"/>
        </w:rPr>
        <w:t xml:space="preserve"> inwendige roeren, het vervolg is open, conisch. De Flute octave 4' van het NW is opvallend wijd van mensuur. De Basson-Hautbois B/D 8' is voorzien van metalen stevels en koppen.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2008-05-05T12:21:00Z</dcterms:created>
  <dc:creator>WS1</dc:creator>
  <dc:description/>
  <dc:language>en-US</dc:language>
  <cp:lastModifiedBy>NIvO</cp:lastModifiedBy>
  <dcterms:modified xsi:type="dcterms:W3CDTF">2008-07-21T10:17:00Z</dcterms:modified>
  <cp:revision>5</cp:revision>
  <dc:subject/>
  <dc:title>Olst / 1880</dc:title>
</cp:coreProperties>
</file>