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Dantumawoude-Murmerwoude / 1895</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Eenbeukig romaans kerkgebouw uit omstreeks 1200, in 1914 met een dwarspand vergroot. De ongelede zadeldaktoren dateert uit de 13e eeuw. Het oorspronkelijk halfronde koor werd in de 16e eeuw door een koor met haakse sluiting vervangen. Kansel uit 1818. Interieur gewijzigd bij kerkrestauratie 1963.</w:t>
      </w:r>
    </w:p>
    <w:p>
      <w:pPr>
        <w:pStyle w:val="T1"/>
        <w:jc w:val="start"/>
        <w:rPr>
          <w:i/>
          <w:i/>
          <w:iCs/>
          <w:lang w:val="nl-NL"/>
        </w:rPr>
      </w:pPr>
      <w:r>
        <w:rPr>
          <w:i/>
          <w:iCs/>
          <w:lang w:val="nl-NL"/>
        </w:rPr>
      </w:r>
    </w:p>
    <w:p>
      <w:pPr>
        <w:pStyle w:val="T1"/>
        <w:jc w:val="start"/>
        <w:rPr>
          <w:lang w:val="nl-NL"/>
        </w:rPr>
      </w:pPr>
      <w:r>
        <w:rPr>
          <w:lang w:val="nl-NL"/>
        </w:rPr>
        <w:t>Kas: 1895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bijzonder front in het oeuvre van de orgelmakers Bakker en Timmenga. Het is geheel vlak uitgevoerd in een romaniserende stijl. De twee buitenste velden zijn iets hoger dan de middenpartij. Deze bestaat uit twee velden die samen onder één boog zijn gebracht. </w:t>
      </w:r>
      <w:r>
        <w:rPr/>
        <w:t xml:space="preserve">Tegen de frontstijlen zijn halfzuiltjes geplaatst, met kapitelen op de plaatsen waar de boogvormige afsluitingen ontspringen. De ruimte boven de pijpen is bij de zijvelden opgevuld met een soort gaas, opgebouwd uit cirkelvormen en vierpasjes, en in het midden een rozet in een cirkel. </w:t>
      </w:r>
      <w:r>
        <w:rPr>
          <w:lang w:val="nl-NL"/>
        </w:rPr>
        <w:t>De grote boog boven de tussenvelden bevat ook een rozet, maar dan anders van uitvoering dan die boven de zijvelden. De tussenvelden zijn verhoogd opgesteld; onder de velden bevindt zich een opengewerkte invulling.</w:t>
      </w:r>
    </w:p>
    <w:p>
      <w:pPr>
        <w:pStyle w:val="T2Kunst"/>
        <w:jc w:val="start"/>
        <w:rPr>
          <w:lang w:val="nl-NL"/>
        </w:rPr>
      </w:pPr>
      <w:r>
        <w:rPr>
          <w:lang w:val="nl-NL"/>
        </w:rPr>
        <w:t>Sinds de kerkrestauratie is de plaatsing van het orgel op de galerij zodanig veranderd dat er thans zitplaatsen vóór het orgel zijn. Een belangrijk deel van het front is daardoor aan het zicht onttrokken. De kas is toen wit geschilderd, waarbij de oorspronkelijke kleurstelling, bestaande uit een donkere hoofdkleur met lichtere belijningen op belangrijke plaatsen, verloren ging. De oorspronkelijke draagbalk van de orgelgalerij, die een eenheid met het orgelfront vormde, bleef gehandhaafd.</w:t>
      </w:r>
    </w:p>
    <w:p>
      <w:pPr>
        <w:pStyle w:val="T2Kunst"/>
        <w:jc w:val="start"/>
        <w:rPr/>
      </w:pPr>
      <w:r>
        <w:rPr/>
        <w:t>De merkwaardige accolade-achtige spijlen van de balustrade waren van origine ook aan weerszijden van het front aanwezig. In het kader van de kerkrestauratie is de balustrade na verplaatsing van het orgel over de hele breedte doorgetrokken.</w:t>
      </w:r>
    </w:p>
    <w:p>
      <w:pPr>
        <w:pStyle w:val="T2Kunst"/>
        <w:jc w:val="start"/>
        <w:rPr/>
      </w:pPr>
      <w:r>
        <w:rPr/>
      </w:r>
    </w:p>
    <w:p>
      <w:pPr>
        <w:pStyle w:val="T3Lit"/>
        <w:jc w:val="start"/>
        <w:rPr>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xml:space="preserve"> Leeuwarden, 2004, 139, 182.</w:t>
      </w:r>
    </w:p>
    <w:p>
      <w:pPr>
        <w:pStyle w:val="T3Lit"/>
        <w:rPr>
          <w:lang w:val="nl-NL"/>
        </w:rPr>
      </w:pPr>
      <w:r>
        <w:rPr>
          <w:lang w:val="nl-NL"/>
        </w:rPr>
      </w:r>
    </w:p>
    <w:p>
      <w:pPr>
        <w:pStyle w:val="T3Lit"/>
        <w:rPr>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T3Lit"/>
        <w:rPr>
          <w:lang w:val="nl-NL"/>
        </w:rPr>
      </w:pPr>
      <w:r>
        <w:rPr>
          <w:lang w:val="nl-NL"/>
        </w:rPr>
        <w:t>Monumentnummer 11675</w:t>
      </w:r>
    </w:p>
    <w:p>
      <w:pPr>
        <w:pStyle w:val="T3Lit"/>
        <w:rPr>
          <w:lang w:val="nl-NL"/>
        </w:rPr>
      </w:pPr>
      <w:r>
        <w:rPr>
          <w:lang w:val="nl-NL"/>
        </w:rPr>
        <w:t>Orgelnummer 1012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1895</w:t>
      </w:r>
    </w:p>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t>Bakker &amp; Timmenga, onbekend moment</w:t>
      </w:r>
    </w:p>
    <w:p>
      <w:pPr>
        <w:pStyle w:val="T1"/>
        <w:numPr>
          <w:ilvl w:val="0"/>
          <w:numId w:val="2"/>
        </w:numPr>
        <w:jc w:val="start"/>
        <w:rPr>
          <w:lang w:val="nl-NL"/>
        </w:rPr>
      </w:pPr>
      <w:r>
        <w:rPr>
          <w:lang w:val="nl-NL"/>
        </w:rPr>
        <w:t>nieuwe registerknoppen met behoud van de oorspronkelijke porseleinen naamplaatjes</w:t>
      </w:r>
    </w:p>
    <w:p>
      <w:pPr>
        <w:pStyle w:val="T1"/>
        <w:jc w:val="start"/>
        <w:rPr>
          <w:lang w:val="nl-NL"/>
        </w:rPr>
      </w:pPr>
      <w:r>
        <w:rPr>
          <w:lang w:val="nl-NL"/>
        </w:rPr>
      </w:r>
    </w:p>
    <w:p>
      <w:pPr>
        <w:pStyle w:val="T1"/>
        <w:jc w:val="start"/>
        <w:rPr/>
      </w:pPr>
      <w:r>
        <w:rPr/>
        <w:t>Orgelmakerij Bakker &amp; Timmenga 1963</w:t>
      </w:r>
    </w:p>
    <w:p>
      <w:pPr>
        <w:pStyle w:val="T1"/>
        <w:numPr>
          <w:ilvl w:val="0"/>
          <w:numId w:val="2"/>
        </w:numPr>
        <w:jc w:val="start"/>
        <w:rPr>
          <w:lang w:val="nl-NL"/>
        </w:rPr>
      </w:pPr>
      <w:r>
        <w:rPr>
          <w:lang w:val="nl-NL"/>
        </w:rPr>
        <w:t>restauratie in het kader van kerkrestauratie; orgelgalerij veranderd</w:t>
      </w:r>
    </w:p>
    <w:p>
      <w:pPr>
        <w:pStyle w:val="T1"/>
        <w:numPr>
          <w:ilvl w:val="0"/>
          <w:numId w:val="2"/>
        </w:numPr>
        <w:jc w:val="start"/>
        <w:rPr>
          <w:lang w:val="nl-NL"/>
        </w:rPr>
      </w:pPr>
      <w:r>
        <w:rPr>
          <w:lang w:val="nl-NL"/>
        </w:rPr>
        <w:t>bij deze gelegenheid orgelkas wit geschilderd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590" w:type="dxa"/>
        <w:jc w:val="start"/>
        <w:tblInd w:w="-70" w:type="dxa"/>
        <w:tblLayout w:type="fixed"/>
        <w:tblCellMar>
          <w:top w:w="0" w:type="dxa"/>
          <w:start w:w="70" w:type="dxa"/>
          <w:bottom w:w="0" w:type="dxa"/>
          <w:end w:w="70" w:type="dxa"/>
        </w:tblCellMar>
      </w:tblPr>
      <w:tblGrid>
        <w:gridCol w:w="1510"/>
        <w:gridCol w:w="1080"/>
      </w:tblGrid>
      <w:tr>
        <w:trPr/>
        <w:tc>
          <w:tcPr>
            <w:tcW w:w="1510" w:type="dxa"/>
            <w:tcBorders/>
          </w:tcPr>
          <w:p>
            <w:pPr>
              <w:pStyle w:val="T4dispositi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Gemshoorn</w:t>
            </w:r>
          </w:p>
          <w:p>
            <w:pPr>
              <w:pStyle w:val="T4dispositie"/>
              <w:jc w:val="start"/>
              <w:rPr>
                <w:lang w:val="nl-NL"/>
              </w:rPr>
            </w:pPr>
            <w:r>
              <w:rPr>
                <w:lang w:val="nl-NL"/>
              </w:rPr>
              <w:t>Mixtuur</w:t>
            </w:r>
          </w:p>
        </w:tc>
        <w:tc>
          <w:tcPr>
            <w:tcW w:w="10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2-3-4 st.</w:t>
            </w:r>
          </w:p>
        </w:tc>
      </w:tr>
    </w:tbl>
    <w:p>
      <w:pPr>
        <w:pStyle w:val="T4dispositie"/>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tbl>
      <w:tblPr>
        <w:tblW w:w="4635" w:type="dxa"/>
        <w:jc w:val="start"/>
        <w:tblInd w:w="-70" w:type="dxa"/>
        <w:tblLayout w:type="fixed"/>
        <w:tblCellMar>
          <w:top w:w="0" w:type="dxa"/>
          <w:start w:w="70" w:type="dxa"/>
          <w:bottom w:w="0" w:type="dxa"/>
          <w:end w:w="70" w:type="dxa"/>
        </w:tblCellMar>
      </w:tblPr>
      <w:tblGrid>
        <w:gridCol w:w="1023"/>
        <w:gridCol w:w="718"/>
        <w:gridCol w:w="718"/>
        <w:gridCol w:w="729"/>
        <w:gridCol w:w="718"/>
        <w:gridCol w:w="729"/>
      </w:tblGrid>
      <w:tr>
        <w:trPr/>
        <w:tc>
          <w:tcPr>
            <w:tcW w:w="1023" w:type="dxa"/>
            <w:tcBorders/>
          </w:tcPr>
          <w:p>
            <w:pPr>
              <w:pStyle w:val="T1"/>
              <w:jc w:val="start"/>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tc>
        <w:tc>
          <w:tcPr>
            <w:tcW w:w="718" w:type="dxa"/>
            <w:tcBorders/>
          </w:tcPr>
          <w:p>
            <w:pPr>
              <w:pStyle w:val="T4dispositie"/>
              <w:rPr/>
            </w:pPr>
            <w:r>
              <w:rPr/>
              <w:t>G</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g</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g</w:t>
            </w:r>
            <w:r>
              <w:rPr>
                <w:vertAlign w:val="superscript"/>
              </w:rPr>
              <w:t>1</w:t>
            </w:r>
          </w:p>
          <w:p>
            <w:pPr>
              <w:pStyle w:val="T4dispositie"/>
              <w:rPr/>
            </w:pPr>
            <w:r>
              <w:rPr/>
              <w:t>4</w:t>
            </w:r>
          </w:p>
          <w:p>
            <w:pPr>
              <w:pStyle w:val="T4dispositie"/>
              <w:rPr/>
            </w:pPr>
            <w:r>
              <w:rPr/>
              <w:t>2 2/3</w:t>
            </w:r>
          </w:p>
          <w:p>
            <w:pPr>
              <w:pStyle w:val="T4dispositie"/>
              <w:rPr/>
            </w:pPr>
            <w:r>
              <w:rPr/>
              <w:t>2</w:t>
            </w:r>
          </w:p>
        </w:tc>
        <w:tc>
          <w:tcPr>
            <w:tcW w:w="729" w:type="dxa"/>
            <w:tcBorders/>
          </w:tcPr>
          <w:p>
            <w:pPr>
              <w:pStyle w:val="T4dispositie"/>
              <w:rPr/>
            </w:pPr>
            <w:r>
              <w:rPr/>
              <w:t>g</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C-g</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(1895)</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pPr>
      <w:r>
        <w:rPr/>
        <w:t>De frontpijpen zijn van Engels tin.</w:t>
      </w:r>
    </w:p>
    <w:p>
      <w:pPr>
        <w:pStyle w:val="T1"/>
        <w:jc w:val="start"/>
        <w:rPr/>
      </w:pPr>
      <w:r>
        <w:rPr/>
        <w:t>Het handklavier is een eiken staartklavier. Het beleg op de ondertoetsen is van kunststof. De registerknoppen bevinden zich boven de lessenaar. Ze zijn van witte porseleinen naamplaatjes voorzien.</w:t>
      </w:r>
    </w:p>
    <w:p>
      <w:pPr>
        <w:pStyle w:val="T1"/>
        <w:jc w:val="start"/>
        <w:rPr/>
      </w:pPr>
      <w:r>
        <w:rPr/>
        <w:t>Het windtoestel is onder in de kas geplaatst.</w:t>
      </w:r>
    </w:p>
    <w:p>
      <w:pPr>
        <w:pStyle w:val="T1"/>
        <w:jc w:val="start"/>
        <w:rPr/>
      </w:pPr>
      <w:r>
        <w:rPr/>
        <w:t xml:space="preserve">De windlade is van eiken, de stokken zijn van mahonie. De ventielkast bezit drie opliggende voorslagen. </w:t>
      </w:r>
      <w:r>
        <w:rPr>
          <w:lang w:val="nl-NL"/>
        </w:rPr>
        <w:t>De cancelvolgorde is in hele tonen: C-e</w:t>
      </w:r>
      <w:r>
        <w:rPr>
          <w:vertAlign w:val="superscript"/>
          <w:lang w:val="nl-NL"/>
        </w:rPr>
        <w:t>3</w:t>
      </w:r>
      <w:r>
        <w:rPr>
          <w:lang w:val="nl-NL"/>
        </w:rPr>
        <w:t xml:space="preserve"> f</w:t>
      </w:r>
      <w:r>
        <w:rPr>
          <w:vertAlign w:val="superscript"/>
          <w:lang w:val="nl-NL"/>
        </w:rPr>
        <w:t>3</w:t>
      </w:r>
      <w:r>
        <w:rPr>
          <w:lang w:val="nl-NL"/>
        </w:rPr>
        <w:t>-Cis. (Cis aan klavierzijde).</w:t>
      </w:r>
    </w:p>
    <w:p>
      <w:pPr>
        <w:pStyle w:val="T1"/>
        <w:jc w:val="start"/>
        <w:rPr>
          <w:lang w:val="nl-NL"/>
        </w:rPr>
      </w:pPr>
      <w:r>
        <w:rPr>
          <w:lang w:val="nl-NL"/>
        </w:rPr>
        <w:t>De Prestant 8' heeft open houten pijpen (rood geschilderd) voor C-Fis. G-gis spreken in het front (twee zijvelden, in de beide middenvelden de drie grootste pijpen).</w:t>
      </w:r>
    </w:p>
    <w:p>
      <w:pPr>
        <w:pStyle w:val="T1"/>
        <w:jc w:val="start"/>
        <w:rPr>
          <w:lang w:val="nl-NL"/>
        </w:rPr>
      </w:pPr>
      <w:r>
        <w:rPr>
          <w:lang w:val="nl-NL"/>
        </w:rPr>
        <w:t>Het groot octaaf van de Holpijp 8' heeft eiken pijpen. De Viola di Gamba is in het groot octaaf gecombineerd met de Holpijp, de pijpen voor c-dis zijn afgevoerd opgesteld, evenals de pijpen voor C-Dis van de Octaaf 4'. De Fluit 4' is gedekt, het hoogste octaaf bezit wijd gemensureerde conische pijpen. De Gemshoorn 2' is cilindrisch, de pijp voor groot C bevat geen naaminscriptie.</w:t>
      </w:r>
    </w:p>
    <w:p>
      <w:pPr>
        <w:pStyle w:val="T1"/>
        <w:jc w:val="start"/>
        <w:rPr/>
      </w:pPr>
      <w:r>
        <w:rPr>
          <w:lang w:val="nl-NL"/>
        </w:rPr>
        <w:t>Expressions zijn toegepast bij de Prestant 8' tot en met h</w:t>
      </w:r>
      <w:r>
        <w:rPr>
          <w:vertAlign w:val="superscript"/>
          <w:lang w:val="nl-NL"/>
        </w:rPr>
        <w:t>2</w:t>
      </w:r>
      <w:r>
        <w:rPr>
          <w:lang w:val="nl-NL"/>
        </w:rPr>
        <w:t>, bij alle pijpen van de Viola di Gambe, bij de Octaaf 4' tot en met gis</w:t>
      </w:r>
      <w:r>
        <w:rPr>
          <w:vertAlign w:val="superscript"/>
          <w:lang w:val="nl-NL"/>
        </w:rPr>
        <w:t>2</w:t>
      </w:r>
      <w:r>
        <w:rPr>
          <w:lang w:val="nl-NL"/>
        </w:rPr>
        <w:t>, bij de Gemshoorn 2' tot en met h, bij de Mixtuur tot 1/2-voets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StrongEmphasis">
    <w:name w:val="Strong Emphasis"/>
    <w:basedOn w:val="Standaardalinealettertype"/>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2008-05-05T12:22:00Z</dcterms:created>
  <dc:creator>WS1</dc:creator>
  <dc:description/>
  <dc:language>en-US</dc:language>
  <cp:lastModifiedBy>NIvO</cp:lastModifiedBy>
  <dcterms:modified xsi:type="dcterms:W3CDTF">2008-05-20T12:42:00Z</dcterms:modified>
  <cp:revision>3</cp:revision>
  <dc:subject/>
  <dc:title>Utrecht / 1880</dc:title>
</cp:coreProperties>
</file>