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lang w:val="fr-FR"/>
        </w:rPr>
      </w:pPr>
      <w:r>
        <w:rPr>
          <w:lang w:val="fr-FR"/>
        </w:rPr>
        <w:t>De Heurne / 1895</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rPr>
      </w:pPr>
      <w:r>
        <w:rPr>
          <w:i/>
          <w:iCs/>
        </w:rPr>
        <w:t>Zaalkerk uit 1908 met neogotische en neorenaissance details.</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Zevendelig enkelvoudig front, teruggrijpend op de in 1864 en 1865 door de orgelmakers Van Dam ontwikkelde prototypen. Hier uitgevoerd met holle veldjes aan weerskanten van de middentoren, voortbordurend op de fronten van Klundert (1891), Purmerend, Evangelisch Lutherse Kerk (1892) en Gieten (1894, deel 1886-1894 respectievelijk 214-216, 269-271 en 341-342).</w:t>
      </w:r>
    </w:p>
    <w:p>
      <w:pPr>
        <w:pStyle w:val="T2Kunst"/>
        <w:jc w:val="start"/>
        <w:rPr>
          <w:lang w:val="nl-NL"/>
        </w:rPr>
      </w:pPr>
      <w:r>
        <w:rPr>
          <w:lang w:val="nl-NL"/>
        </w:rPr>
        <w:t>Ornamentiek in de voor die tijd bij Van Dam gebruikelijke vormentaal: S- en C-voluten, plantaardige motieven. Bij de bovenblinderingen in de drie torens is in het midden een gestileerde Franse lelie geplaatst die enigszins over het lijstwerk heen steekt.</w:t>
      </w:r>
    </w:p>
    <w:p>
      <w:pPr>
        <w:pStyle w:val="T2Kunst"/>
        <w:jc w:val="start"/>
        <w:rPr>
          <w:lang w:val="nl-NL"/>
        </w:rPr>
      </w:pPr>
      <w:r>
        <w:rPr>
          <w:lang w:val="nl-NL"/>
        </w:rPr>
        <w:t>De uitvoering van de vleugelstukken komt sterk overeen met die van Gieten.</w:t>
      </w:r>
    </w:p>
    <w:p>
      <w:pPr>
        <w:pStyle w:val="T2Kunst"/>
        <w:jc w:val="start"/>
        <w:rPr>
          <w:lang w:val="nl-NL"/>
        </w:rPr>
      </w:pPr>
      <w:r>
        <w:rPr>
          <w:lang w:val="nl-NL"/>
        </w:rPr>
        <w:t>Op de middentoren een lier, rustend op een piëdestal van gekoppelde C-voluten. Op de zijtorens ingezwenkte schilden, waarop het motief van een druiventros.</w:t>
      </w:r>
    </w:p>
    <w:p>
      <w:pPr>
        <w:pStyle w:val="T1"/>
        <w:jc w:val="start"/>
        <w:rPr>
          <w:lang w:val="nl-NL"/>
        </w:rPr>
      </w:pPr>
      <w:r>
        <w:rPr>
          <w:lang w:val="nl-NL"/>
        </w:rPr>
      </w:r>
    </w:p>
    <w:p>
      <w:pPr>
        <w:pStyle w:val="T3Lit"/>
        <w:jc w:val="start"/>
        <w:rPr>
          <w:b/>
          <w:b/>
          <w:bCs/>
        </w:rPr>
      </w:pPr>
      <w:r>
        <w:rPr>
          <w:b/>
          <w:bCs/>
        </w:rPr>
        <w:t>Literatuur</w:t>
      </w:r>
    </w:p>
    <w:p>
      <w:pPr>
        <w:pStyle w:val="T3Lit"/>
        <w:jc w:val="start"/>
        <w:rPr/>
      </w:pPr>
      <w:r>
        <w:rPr>
          <w:lang w:val="nl-NL"/>
        </w:rPr>
        <w:t xml:space="preserve">Jan Jongepier, ‘De orgels in “n Oalen Griezen”. </w:t>
      </w:r>
      <w:r>
        <w:rPr/>
        <w:t xml:space="preserve">In: </w:t>
      </w:r>
      <w:r>
        <w:rPr>
          <w:i/>
          <w:iCs/>
        </w:rPr>
        <w:t>Da capo con amore</w:t>
      </w:r>
      <w:r>
        <w:rPr/>
        <w:t xml:space="preserve">, ed. </w:t>
      </w:r>
      <w:r>
        <w:rPr>
          <w:lang w:val="nl-NL"/>
        </w:rPr>
        <w:t>Paul Janse en Jan Dirk Wassenaar. Hellendoorn, 2006.</w:t>
      </w:r>
    </w:p>
    <w:p>
      <w:pPr>
        <w:pStyle w:val="T3Lit"/>
        <w:jc w:val="start"/>
        <w:rPr>
          <w:lang w:val="nl-NL"/>
        </w:rPr>
      </w:pPr>
      <w:r>
        <w:rPr>
          <w:lang w:val="nl-NL"/>
        </w:rPr>
      </w:r>
    </w:p>
    <w:p>
      <w:pPr>
        <w:pStyle w:val="T3Lit"/>
        <w:jc w:val="start"/>
        <w:rPr>
          <w:b/>
          <w:b/>
          <w:bCs/>
        </w:rPr>
      </w:pPr>
      <w:r>
        <w:rPr>
          <w:b/>
          <w:bCs/>
        </w:rPr>
        <w:t>Niet gepubliceerde bronnen</w:t>
      </w:r>
    </w:p>
    <w:p>
      <w:pPr>
        <w:pStyle w:val="T3Lit"/>
        <w:jc w:val="start"/>
        <w:rPr>
          <w:lang w:val="nl-NL"/>
        </w:rPr>
      </w:pPr>
      <w:r>
        <w:rPr>
          <w:lang w:val="nl-NL"/>
        </w:rPr>
        <w:t>Archief Hervormde Gemeente Hellendoorn.</w:t>
      </w:r>
    </w:p>
    <w:p>
      <w:pPr>
        <w:pStyle w:val="T3Lit"/>
        <w:jc w:val="start"/>
        <w:rPr/>
      </w:pPr>
      <w:r>
        <w:rPr/>
        <w:t>Archief Orgelbouw Leeflang (gedeponeerd bij Orgelmakerij Gebr. Reil, Heerde).</w:t>
      </w:r>
    </w:p>
    <w:p>
      <w:pPr>
        <w:pStyle w:val="T3Lit"/>
        <w:jc w:val="start"/>
        <w:rPr/>
      </w:pPr>
      <w:r>
        <w:rPr/>
      </w:r>
    </w:p>
    <w:p>
      <w:pPr>
        <w:pStyle w:val="T3Lit"/>
        <w:jc w:val="start"/>
        <w:rPr/>
      </w:pPr>
      <w:r>
        <w:rPr/>
        <w:t>Orgelnummer 675</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Hellendoorn, Hervormde Kerk</w:t>
      </w:r>
    </w:p>
    <w:p>
      <w:pPr>
        <w:pStyle w:val="T1"/>
        <w:jc w:val="start"/>
        <w:rPr>
          <w:lang w:val="nl-NL"/>
        </w:rPr>
      </w:pPr>
      <w:r>
        <w:rPr>
          <w:lang w:val="nl-NL"/>
        </w:rPr>
      </w:r>
    </w:p>
    <w:p>
      <w:pPr>
        <w:pStyle w:val="T1"/>
        <w:jc w:val="start"/>
        <w:rPr>
          <w:lang w:val="nl-NL"/>
        </w:rPr>
      </w:pPr>
      <w:r>
        <w:rPr>
          <w:lang w:val="nl-NL"/>
        </w:rPr>
        <w:t>B.F. Bergmeijer 1938</w:t>
      </w:r>
    </w:p>
    <w:p>
      <w:pPr>
        <w:pStyle w:val="T1"/>
        <w:numPr>
          <w:ilvl w:val="0"/>
          <w:numId w:val="2"/>
        </w:numPr>
        <w:jc w:val="start"/>
        <w:rPr>
          <w:lang w:val="nl-NL"/>
        </w:rPr>
      </w:pPr>
      <w:r>
        <w:rPr>
          <w:lang w:val="nl-NL"/>
        </w:rPr>
        <w:t>orgel verplaatst naar hoger gelegen galerij</w:t>
      </w:r>
    </w:p>
    <w:p>
      <w:pPr>
        <w:pStyle w:val="T1"/>
        <w:jc w:val="start"/>
        <w:rPr>
          <w:lang w:val="nl-NL"/>
        </w:rPr>
      </w:pPr>
      <w:r>
        <w:rPr>
          <w:lang w:val="nl-NL"/>
        </w:rPr>
      </w:r>
    </w:p>
    <w:p>
      <w:pPr>
        <w:pStyle w:val="T1"/>
        <w:jc w:val="start"/>
        <w:rPr/>
      </w:pPr>
      <w:r>
        <w:rPr/>
        <w:t>Orgelbouw Leeflang 1961</w:t>
      </w:r>
    </w:p>
    <w:p>
      <w:pPr>
        <w:pStyle w:val="T1"/>
        <w:numPr>
          <w:ilvl w:val="0"/>
          <w:numId w:val="2"/>
        </w:numPr>
        <w:jc w:val="start"/>
        <w:rPr>
          <w:lang w:val="nl-NL"/>
        </w:rPr>
      </w:pPr>
      <w:r>
        <w:rPr>
          <w:lang w:val="nl-NL"/>
        </w:rPr>
        <w:t>orgel gedemonteerd in verband met aanvang kerkrestauratie</w:t>
      </w:r>
    </w:p>
    <w:p>
      <w:pPr>
        <w:pStyle w:val="T1"/>
        <w:jc w:val="start"/>
        <w:rPr>
          <w:lang w:val="nl-NL"/>
        </w:rPr>
      </w:pPr>
      <w:r>
        <w:rPr>
          <w:lang w:val="nl-NL"/>
        </w:rPr>
      </w:r>
    </w:p>
    <w:p>
      <w:pPr>
        <w:pStyle w:val="T1"/>
        <w:jc w:val="start"/>
        <w:rPr/>
      </w:pPr>
      <w:r>
        <w:rPr/>
        <w:t>Orgelbouw Leeflang 1963</w:t>
      </w:r>
    </w:p>
    <w:p>
      <w:pPr>
        <w:pStyle w:val="T1"/>
        <w:numPr>
          <w:ilvl w:val="0"/>
          <w:numId w:val="2"/>
        </w:numPr>
        <w:jc w:val="start"/>
        <w:rPr>
          <w:lang w:val="nl-NL"/>
        </w:rPr>
      </w:pPr>
      <w:r>
        <w:rPr>
          <w:lang w:val="nl-NL"/>
        </w:rPr>
        <w:t>orgel geplaatst in De Heurne, Hervormde Kerk</w:t>
      </w:r>
    </w:p>
    <w:p>
      <w:pPr>
        <w:pStyle w:val="T1"/>
        <w:numPr>
          <w:ilvl w:val="0"/>
          <w:numId w:val="2"/>
        </w:numPr>
        <w:jc w:val="start"/>
        <w:rPr>
          <w:lang w:val="nl-NL"/>
        </w:rPr>
      </w:pPr>
      <w:r>
        <w:rPr>
          <w:lang w:val="nl-NL"/>
        </w:rPr>
        <w:t>Man - Cornet, + Mixtuur</w:t>
      </w:r>
    </w:p>
    <w:p>
      <w:pPr>
        <w:pStyle w:val="T1"/>
        <w:numPr>
          <w:ilvl w:val="0"/>
          <w:numId w:val="2"/>
        </w:numPr>
        <w:jc w:val="start"/>
        <w:rPr>
          <w:lang w:val="nl-NL"/>
        </w:rPr>
      </w:pPr>
      <w:r>
        <w:rPr>
          <w:lang w:val="nl-NL"/>
        </w:rPr>
        <w:t>orgelkas geschilderd in gewijzigde kleurstelling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0" w:type="dxa"/>
        <w:jc w:val="start"/>
        <w:tblInd w:w="-70" w:type="dxa"/>
        <w:tblLayout w:type="fixed"/>
        <w:tblCellMar>
          <w:top w:w="0" w:type="dxa"/>
          <w:start w:w="70" w:type="dxa"/>
          <w:bottom w:w="0" w:type="dxa"/>
          <w:end w:w="70" w:type="dxa"/>
        </w:tblCellMar>
      </w:tblPr>
      <w:tblGrid>
        <w:gridCol w:w="1511"/>
        <w:gridCol w:w="719"/>
      </w:tblGrid>
      <w:tr>
        <w:trPr/>
        <w:tc>
          <w:tcPr>
            <w:tcW w:w="1511" w:type="dxa"/>
            <w:tcBorders/>
          </w:tcPr>
          <w:p>
            <w:pPr>
              <w:pStyle w:val="T4dispositie"/>
              <w:rPr>
                <w:i/>
                <w:i/>
                <w:iCs/>
              </w:rPr>
            </w:pPr>
            <w:r>
              <w:rPr>
                <w:i/>
                <w:iCs/>
              </w:rPr>
              <w:t>Manuaal</w:t>
            </w:r>
          </w:p>
          <w:p>
            <w:pPr>
              <w:pStyle w:val="T4dispositie"/>
              <w:rPr/>
            </w:pPr>
            <w:r>
              <w:rPr/>
              <w:t>10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Violon</w:t>
            </w:r>
          </w:p>
          <w:p>
            <w:pPr>
              <w:pStyle w:val="T4dispositie"/>
              <w:rPr/>
            </w:pPr>
            <w:r>
              <w:rPr/>
              <w:t>Octaaf</w:t>
            </w:r>
          </w:p>
          <w:p>
            <w:pPr>
              <w:pStyle w:val="T4dispositie"/>
              <w:rPr/>
            </w:pPr>
            <w:r>
              <w:rPr/>
              <w:t>Fluit</w:t>
            </w:r>
          </w:p>
          <w:p>
            <w:pPr>
              <w:pStyle w:val="T4dispositie"/>
              <w:rPr/>
            </w:pPr>
            <w:r>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71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r>
          </w:p>
          <w:p>
            <w:pPr>
              <w:pStyle w:val="T4dispositie"/>
              <w:rPr/>
            </w:pPr>
            <w:r>
              <w:rPr/>
              <w:t>8'</w:t>
            </w:r>
          </w:p>
        </w:tc>
      </w:tr>
    </w:tbl>
    <w:p>
      <w:pPr>
        <w:pStyle w:val="T1"/>
        <w:jc w:val="start"/>
        <w:rPr/>
      </w:pPr>
      <w:r>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tremblant</w:t>
      </w:r>
    </w:p>
    <w:p>
      <w:pPr>
        <w:pStyle w:val="Normal"/>
        <w:rPr>
          <w:rFonts w:ascii="Times New Roman" w:hAnsi="Times New Roman" w:cs="Times New Roman"/>
          <w:szCs w:val="24"/>
        </w:rPr>
      </w:pPr>
      <w:r>
        <w:rPr>
          <w:rFonts w:cs="Times New Roman" w:ascii="Times New Roman" w:hAnsi="Times New Roman"/>
          <w:szCs w:val="24"/>
        </w:rPr>
        <w:t>afsluiting</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4738" w:type="dxa"/>
        <w:jc w:val="start"/>
        <w:tblInd w:w="-70" w:type="dxa"/>
        <w:tblLayout w:type="fixed"/>
        <w:tblCellMar>
          <w:top w:w="0" w:type="dxa"/>
          <w:start w:w="70" w:type="dxa"/>
          <w:bottom w:w="0" w:type="dxa"/>
          <w:end w:w="70" w:type="dxa"/>
        </w:tblCellMar>
      </w:tblPr>
      <w:tblGrid>
        <w:gridCol w:w="1047"/>
        <w:gridCol w:w="736"/>
        <w:gridCol w:w="736"/>
        <w:gridCol w:w="736"/>
        <w:gridCol w:w="747"/>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6"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36" w:type="dxa"/>
            <w:tcBorders/>
          </w:tcPr>
          <w:p>
            <w:pPr>
              <w:pStyle w:val="T4dispositie"/>
              <w:rPr/>
            </w:pPr>
            <w:r>
              <w:rPr/>
              <w:t>c</w:t>
            </w:r>
            <w:r>
              <w:rPr>
                <w:vertAlign w:val="superscript"/>
              </w:rPr>
              <w:t>3</w:t>
            </w:r>
          </w:p>
          <w:p>
            <w:pPr>
              <w:pStyle w:val="T4dispositie"/>
              <w:rPr/>
            </w:pPr>
            <w:r>
              <w:rPr/>
              <w:t>4</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431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C-c</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(1895)</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64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De orgelkas is van naaldhout. De frontpijpen zijn van tin en behoren tot de Prestant 8' (C-A en c-a</w:t>
      </w:r>
      <w:r>
        <w:rPr>
          <w:vertAlign w:val="superscript"/>
          <w:lang w:val="nl-NL"/>
        </w:rPr>
        <w:t>1</w:t>
      </w:r>
      <w:r>
        <w:rPr>
          <w:lang w:val="nl-NL"/>
        </w:rPr>
        <w:t>). B en H van de Prestant 8' zijn binnenpijpen, b-g</w:t>
      </w:r>
      <w:r>
        <w:rPr>
          <w:vertAlign w:val="superscript"/>
          <w:lang w:val="nl-NL"/>
        </w:rPr>
        <w:t>3</w:t>
      </w:r>
      <w:r>
        <w:rPr>
          <w:lang w:val="nl-NL"/>
        </w:rPr>
        <w:t xml:space="preserve"> staan op de lade. De frontpijpen in de linkertoren en de bovenste tussenvelden zijn stom.</w:t>
      </w:r>
    </w:p>
    <w:p>
      <w:pPr>
        <w:pStyle w:val="T1"/>
        <w:jc w:val="start"/>
        <w:rPr>
          <w:lang w:val="nl-NL"/>
        </w:rPr>
      </w:pPr>
      <w:r>
        <w:rPr>
          <w:lang w:val="nl-NL"/>
        </w:rPr>
        <w:t>Alle onderdelen van de klaviatuur zijn authentiek met uitzondering van de registerplaatjes van de Quint 3', de Octaaf 2' en de Mixtuur. Het eiken staartklavier heeft origineel ivoorbeleg op de ondertoetsen dat met pennetjes is vastgezet. De registerknoppen zijn in een horizontale rij boven de lessenaarbak geplaatst; de tremblant rechts en de afsluiting links van het handklavier. De knoppen zijn voorzien van witte porseleinen naamplaatjes. Het eiken pedaalklavier heeft korte boventoetsen van gelijke lengte.</w:t>
      </w:r>
    </w:p>
    <w:p>
      <w:pPr>
        <w:pStyle w:val="T1"/>
        <w:jc w:val="start"/>
        <w:rPr>
          <w:lang w:val="nl-NL"/>
        </w:rPr>
      </w:pPr>
      <w:r>
        <w:rPr>
          <w:lang w:val="nl-NL"/>
        </w:rPr>
        <w:t>Het windtoestel is onder in de kas geplaatst; de handpomp is niet meer aanwezig. De Tremblant is inliggend.</w:t>
      </w:r>
    </w:p>
    <w:p>
      <w:pPr>
        <w:pStyle w:val="T1"/>
        <w:jc w:val="start"/>
        <w:rPr/>
      </w:pPr>
      <w:r>
        <w:rPr>
          <w:lang w:val="nl-NL"/>
        </w:rPr>
        <w:t>De windlade is voor wat het cancellenraam en de ventielkast betreft van eiken, de stokken en roosters zijn van mahonie. De ventielkast heeft twee opliggende voorslagen. De cancelvolgorde is chromatisch: C-d g</w:t>
      </w:r>
      <w:r>
        <w:rPr>
          <w:vertAlign w:val="superscript"/>
          <w:lang w:val="nl-NL"/>
        </w:rPr>
        <w:t>3</w:t>
      </w:r>
      <w:r>
        <w:rPr>
          <w:lang w:val="nl-NL"/>
        </w:rPr>
        <w:t>-dis.</w:t>
      </w:r>
    </w:p>
    <w:p>
      <w:pPr>
        <w:pStyle w:val="T1"/>
        <w:jc w:val="start"/>
        <w:rPr/>
      </w:pPr>
      <w:r>
        <w:rPr>
          <w:lang w:val="nl-NL"/>
        </w:rPr>
        <w:t>De Violon 8' begint op c. C-G van de Holpijp 8' en C-g van de Bourdon 16' zijn van eiken, het vervolg van beide registers is van metaal (gedekt). C-H van de Quint 3' zijn gedekt, het vervolg is open, conisch. In het bestek wordt het register Quintfluit genoemd. De Fluit 4' is van C-g</w:t>
      </w:r>
      <w:r>
        <w:rPr>
          <w:vertAlign w:val="superscript"/>
          <w:lang w:val="nl-NL"/>
        </w:rPr>
        <w:t>2</w:t>
      </w:r>
      <w:r>
        <w:rPr>
          <w:lang w:val="nl-NL"/>
        </w:rPr>
        <w:t xml:space="preserve"> voorzien van roeren en verder open, conisch. De Trompet B/D 8' is een toegeleverd exemplaar met metalen stevels, loden koppen en metalen bekers. De kelen en tongen zijn van messing. Vanaf c</w:t>
      </w:r>
      <w:r>
        <w:rPr>
          <w:vertAlign w:val="superscript"/>
          <w:lang w:val="nl-NL"/>
        </w:rPr>
        <w:t>3</w:t>
      </w:r>
      <w:r>
        <w:rPr>
          <w:lang w:val="nl-NL"/>
        </w:rPr>
        <w:t xml:space="preserve"> bekers met dubbele lengte.</w:t>
      </w:r>
    </w:p>
    <w:p>
      <w:pPr>
        <w:pStyle w:val="T1"/>
        <w:jc w:val="start"/>
        <w:rPr>
          <w:lang w:val="nl-NL"/>
        </w:rPr>
      </w:pPr>
      <w:r>
        <w:rPr>
          <w:lang w:val="nl-NL"/>
        </w:rPr>
        <w:t>Expressions zijn toegepast bij alle binnenpijpen van Prestant en Violon 8', en verder bij een deel van de Octaaf 4' en de Octaaf 2'.</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2008-05-05T12:23:00Z</dcterms:created>
  <dc:creator>WS1</dc:creator>
  <dc:description/>
  <dc:language>en-US</dc:language>
  <cp:lastModifiedBy>NIvO</cp:lastModifiedBy>
  <dcterms:modified xsi:type="dcterms:W3CDTF">2008-06-24T11:44:00Z</dcterms:modified>
  <cp:revision>3</cp:revision>
  <dc:subject/>
  <dc:title>Olst / 1880</dc:title>
</cp:coreProperties>
</file>