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Hengelo (GLD) / 1895</w:t>
      </w:r>
    </w:p>
    <w:p>
      <w:pPr>
        <w:pStyle w:val="Heading2"/>
        <w:rPr>
          <w:i w:val="false"/>
          <w:i w:val="false"/>
          <w:iCs/>
        </w:rPr>
      </w:pPr>
      <w:r>
        <w:rPr>
          <w:i w:val="false"/>
          <w:iCs/>
        </w:rPr>
        <w:t>Hervormde Kerk</w:t>
      </w:r>
    </w:p>
    <w:p>
      <w:pPr>
        <w:pStyle w:val="T1"/>
        <w:rPr>
          <w:i/>
          <w:i/>
          <w:iCs/>
          <w:lang w:val="nl-NL"/>
        </w:rPr>
      </w:pPr>
      <w:r>
        <w:rPr>
          <w:i/>
          <w:iCs/>
          <w:lang w:val="nl-NL"/>
        </w:rPr>
      </w:r>
    </w:p>
    <w:p>
      <w:pPr>
        <w:pStyle w:val="T1"/>
        <w:jc w:val="start"/>
        <w:rPr>
          <w:i/>
          <w:i/>
          <w:iCs/>
          <w:lang w:val="nl-NL"/>
        </w:rPr>
      </w:pPr>
      <w:r>
        <w:rPr>
          <w:i/>
          <w:iCs/>
          <w:lang w:val="nl-NL"/>
        </w:rPr>
        <w:t>Laatgotische pseudobasiliek met driezijdig gesloten koor en forse toren. Het koor, met aan de noordzijde een sacristie en aangrenzende kapel is omstreeks 1400 gebouwd. De toren, met tufstenen speklagen, dateert uit het midden van de 15e eeuw. Het schip kwam aan het einde van de 15e eeuw tot stand waarbij de zijbeuken langs te toren zijn doorgetrokken. De kerk is in 1839 hersteld en in 1955-1960 gerestaureerd. In het koor vroeg 15e-eeuwse muurschilderingen. Preekstoel uit de 17e eeuw.</w:t>
      </w:r>
    </w:p>
    <w:p>
      <w:pPr>
        <w:pStyle w:val="T1"/>
        <w:rPr>
          <w:i/>
          <w:i/>
          <w:iCs/>
          <w:lang w:val="nl-NL"/>
        </w:rPr>
      </w:pPr>
      <w:r>
        <w:rPr>
          <w:i/>
          <w:iCs/>
          <w:lang w:val="nl-NL"/>
        </w:rPr>
      </w:r>
    </w:p>
    <w:p>
      <w:pPr>
        <w:pStyle w:val="T1"/>
        <w:rPr>
          <w:lang w:val="nl-NL"/>
        </w:rPr>
      </w:pPr>
      <w:r>
        <w:rPr>
          <w:lang w:val="nl-NL"/>
        </w:rPr>
        <w:t>Kas: 1895</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Orgelfront vrijwel identiek aan de fronten te Krimpen aan den IJssel en Zalk (beide 1891, deel 1886-1894, 217-219 en 247-249) en daarmee een variant van het Van Dam-type met middentoren met torenvelden, zoals voor het eerst toegepast in Tjerkwerd (1851, deel 1850-1858, 102-104). Ook hier heeft Proper, meer dan bij de oorspronkelijke versie van Van Dam in Tjerkwerd, in het front een duidelijke scheiding tussen hoofd- en bovenwerk willen aangeven. De middentoren en de hol gebogen torenvelden komen iets minder geprononceerd naar voren dan in Zalk en ook de consoles van acanthusbladeren zijn minder monumentaal. Ze worden enigszins gecompenseerd door de brede lijst die direct boven de consoles over de hele breedte van het front is aangebracht. Het blinderingssnijwerk is verder in hoofdlijnen gelijk aan dat te Zalk, behalve de ornamenten in de tussenvelden, waar gekozen is voor bladranken en C-voluten. Een opengewerkte S-rank boven de hoogste etages van de tussenvelden begeleidt de overgang naar de hogere middentoren.</w:t>
      </w:r>
    </w:p>
    <w:p>
      <w:pPr>
        <w:pStyle w:val="T2Kunst"/>
        <w:jc w:val="start"/>
        <w:rPr>
          <w:lang w:val="nl-NL"/>
        </w:rPr>
      </w:pPr>
      <w:r>
        <w:rPr>
          <w:lang w:val="nl-NL"/>
        </w:rPr>
        <w:t>Op de torens een herhaling van de beelden van koning David met de harp en de twee bazuinblazende engelen van Vorchten en Zalk, wederom op hoge piëdestallen. De vleugelstukken zijn kopieën van die aan het orgel in de Gereformeerde Zuiderkerk te Sneek (1893, deel 1886-1894, 322-324).</w:t>
      </w:r>
    </w:p>
    <w:p>
      <w:pPr>
        <w:pStyle w:val="T1"/>
        <w:rPr>
          <w:lang w:val="nl-NL"/>
        </w:rPr>
      </w:pPr>
      <w:r>
        <w:rPr>
          <w:lang w:val="nl-NL"/>
        </w:rPr>
      </w:r>
    </w:p>
    <w:p>
      <w:pPr>
        <w:pStyle w:val="T3Lit"/>
        <w:jc w:val="start"/>
        <w:rPr/>
      </w:pPr>
      <w:r>
        <w:rPr/>
        <w:t>Literatuur</w:t>
      </w:r>
    </w:p>
    <w:p>
      <w:pPr>
        <w:pStyle w:val="T3Lit"/>
        <w:jc w:val="start"/>
        <w:rPr>
          <w:b w:val="false"/>
          <w:b w:val="false"/>
          <w:bCs w:val="false"/>
          <w:i/>
          <w:i/>
          <w:iCs/>
        </w:rPr>
      </w:pPr>
      <w:r>
        <w:rPr>
          <w:b w:val="false"/>
          <w:bCs w:val="false"/>
          <w:i/>
          <w:iCs/>
        </w:rPr>
        <w:t>Fotokaart de Mixtuur.</w:t>
      </w:r>
    </w:p>
    <w:p>
      <w:pPr>
        <w:pStyle w:val="T3Lit"/>
        <w:jc w:val="start"/>
        <w:rPr/>
      </w:pPr>
      <w:r>
        <w:rPr>
          <w:b w:val="false"/>
          <w:bCs w:val="false"/>
        </w:rPr>
        <w:t xml:space="preserve">E. ten Hoeve, </w:t>
      </w:r>
      <w:r>
        <w:rPr>
          <w:b w:val="false"/>
          <w:bCs w:val="false"/>
          <w:i/>
        </w:rPr>
        <w:t>Over het orgel en zijn functionarissen</w:t>
      </w:r>
      <w:r>
        <w:rPr>
          <w:b w:val="false"/>
          <w:bCs w:val="false"/>
        </w:rPr>
        <w:t>. Hengelo, 1975.</w:t>
      </w:r>
    </w:p>
    <w:p>
      <w:pPr>
        <w:pStyle w:val="T3Lit"/>
        <w:jc w:val="start"/>
        <w:rPr/>
      </w:pPr>
      <w:r>
        <w:rPr>
          <w:b w:val="false"/>
          <w:bCs w:val="false"/>
          <w:i/>
          <w:iCs/>
        </w:rPr>
        <w:t>Het Orgel</w:t>
      </w:r>
      <w:r>
        <w:rPr>
          <w:b w:val="false"/>
          <w:bCs w:val="false"/>
        </w:rPr>
        <w:t>, 10/3 (1895), 35.</w:t>
      </w:r>
    </w:p>
    <w:p>
      <w:pPr>
        <w:pStyle w:val="T3Lit"/>
        <w:jc w:val="start"/>
        <w:rPr/>
      </w:pPr>
      <w:r>
        <w:rPr>
          <w:b w:val="false"/>
          <w:bCs w:val="false"/>
          <w:i/>
          <w:iCs/>
        </w:rPr>
        <w:t>De Orgelvriend</w:t>
      </w:r>
      <w:r>
        <w:rPr>
          <w:b w:val="false"/>
          <w:bCs w:val="false"/>
        </w:rPr>
        <w:t>, 18/11 (1976), 11.</w:t>
      </w:r>
    </w:p>
    <w:p>
      <w:pPr>
        <w:pStyle w:val="T3Lit"/>
        <w:jc w:val="start"/>
        <w:rPr/>
      </w:pPr>
      <w:r>
        <w:rPr>
          <w:b w:val="false"/>
          <w:bCs w:val="false"/>
        </w:rPr>
        <w:t xml:space="preserve">R. Walsma, </w:t>
      </w:r>
      <w:r>
        <w:rPr>
          <w:b w:val="false"/>
          <w:bCs w:val="false"/>
          <w:i/>
          <w:iCs/>
        </w:rPr>
        <w:t>Herziene en uitgebreide werklijst Properorgels</w:t>
      </w:r>
      <w:r>
        <w:rPr>
          <w:b w:val="false"/>
          <w:bCs w:val="false"/>
        </w:rPr>
        <w:t>. Leeuwarden, 2005, 9.</w:t>
      </w:r>
    </w:p>
    <w:p>
      <w:pPr>
        <w:pStyle w:val="T3Lit"/>
        <w:jc w:val="start"/>
        <w:rPr/>
      </w:pPr>
      <w:r>
        <w:rPr>
          <w:b w:val="false"/>
          <w:bCs w:val="false"/>
        </w:rPr>
        <w:t xml:space="preserve">R. Walsma, </w:t>
      </w:r>
      <w:r>
        <w:rPr>
          <w:b w:val="false"/>
          <w:bCs w:val="false"/>
          <w:i/>
          <w:iCs/>
        </w:rPr>
        <w:t>Jan Proper (1853-1922), orgelbouwer op het grensvlak van ambachtelijk en industrieel</w:t>
      </w:r>
      <w:r>
        <w:rPr>
          <w:b w:val="false"/>
          <w:bCs w:val="false"/>
        </w:rPr>
        <w:t>. Leeuwarden, 2005.</w:t>
      </w:r>
    </w:p>
    <w:p>
      <w:pPr>
        <w:pStyle w:val="T3Lit"/>
        <w:jc w:val="start"/>
        <w:rPr>
          <w:b w:val="false"/>
          <w:b w:val="false"/>
          <w:bCs w:val="false"/>
        </w:rPr>
      </w:pPr>
      <w:r>
        <w:rPr>
          <w:b w:val="false"/>
          <w:bCs w:val="false"/>
        </w:rPr>
      </w:r>
    </w:p>
    <w:p>
      <w:pPr>
        <w:pStyle w:val="T3Lit"/>
        <w:jc w:val="start"/>
        <w:rPr>
          <w:b w:val="false"/>
          <w:b w:val="false"/>
          <w:bCs w:val="false"/>
        </w:rPr>
      </w:pPr>
      <w:r>
        <w:rPr/>
        <w:t>Niet gepubliceerde bronnen</w:t>
      </w:r>
    </w:p>
    <w:p>
      <w:pPr>
        <w:pStyle w:val="T3Lit"/>
        <w:jc w:val="start"/>
        <w:rPr>
          <w:b w:val="false"/>
          <w:b w:val="false"/>
          <w:bCs w:val="false"/>
        </w:rPr>
      </w:pPr>
      <w:r>
        <w:rPr>
          <w:b w:val="false"/>
          <w:bCs w:val="false"/>
        </w:rPr>
        <w:t>Informatie verstrekt door Hendriksen &amp; Reitsma.</w:t>
      </w:r>
    </w:p>
    <w:p>
      <w:pPr>
        <w:pStyle w:val="T3Lit"/>
        <w:jc w:val="start"/>
        <w:rPr>
          <w:b w:val="false"/>
          <w:b w:val="false"/>
          <w:bCs w:val="false"/>
        </w:rPr>
      </w:pPr>
      <w:r>
        <w:rPr>
          <w:b w:val="false"/>
          <w:bCs w:val="false"/>
        </w:rPr>
        <w:t>SKKN, dossier Hengelo (Gld), inventarisatierapport 2000.</w:t>
      </w:r>
    </w:p>
    <w:p>
      <w:pPr>
        <w:pStyle w:val="T3Lit"/>
        <w:jc w:val="start"/>
        <w:rPr>
          <w:b w:val="false"/>
          <w:b w:val="false"/>
          <w:bCs w:val="false"/>
        </w:rPr>
      </w:pPr>
      <w:r>
        <w:rPr>
          <w:b w:val="false"/>
          <w:bCs w:val="false"/>
        </w:rPr>
      </w:r>
    </w:p>
    <w:p>
      <w:pPr>
        <w:pStyle w:val="T3Lit"/>
        <w:jc w:val="start"/>
        <w:rPr>
          <w:b w:val="false"/>
          <w:b w:val="false"/>
          <w:bCs w:val="false"/>
        </w:rPr>
      </w:pPr>
      <w:r>
        <w:rPr>
          <w:b w:val="false"/>
          <w:bCs w:val="false"/>
        </w:rPr>
        <w:t>Monumentnummer 21506</w:t>
      </w:r>
    </w:p>
    <w:p>
      <w:pPr>
        <w:pStyle w:val="T3Lit"/>
        <w:jc w:val="start"/>
        <w:rPr>
          <w:b w:val="false"/>
          <w:b w:val="false"/>
          <w:bCs w:val="false"/>
        </w:rPr>
      </w:pPr>
      <w:r>
        <w:rPr>
          <w:b w:val="false"/>
          <w:bCs w:val="false"/>
        </w:rPr>
        <w:t>Orgelnummer 661</w:t>
      </w:r>
    </w:p>
    <w:p>
      <w:pPr>
        <w:pStyle w:val="T1"/>
        <w:rPr>
          <w:b/>
          <w:b/>
          <w:bCs/>
          <w:lang w:val="nl-NL"/>
        </w:rPr>
      </w:pPr>
      <w:r>
        <w:rPr>
          <w:b/>
          <w:bCs/>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rFonts w:ascii="Times" w:hAnsi="Times" w:cs="Times"/>
          <w:lang w:val="nl-NL"/>
        </w:rPr>
      </w:pPr>
      <w:r>
        <w:rPr>
          <w:rFonts w:cs="Times" w:ascii="Times" w:hAnsi="Times"/>
          <w:lang w:val="nl-NL"/>
        </w:rPr>
        <w:t>Bouwers</w:t>
      </w:r>
    </w:p>
    <w:p>
      <w:pPr>
        <w:pStyle w:val="T1"/>
        <w:rPr>
          <w:rFonts w:ascii="Times" w:hAnsi="Times" w:cs="Times"/>
          <w:lang w:val="nl-NL"/>
        </w:rPr>
      </w:pPr>
      <w:r>
        <w:rPr>
          <w:rFonts w:cs="Times" w:ascii="Times" w:hAnsi="Times"/>
          <w:lang w:val="nl-NL"/>
        </w:rPr>
        <w:t>1. J. Proper</w:t>
      </w:r>
    </w:p>
    <w:p>
      <w:pPr>
        <w:pStyle w:val="T1"/>
        <w:rPr>
          <w:rFonts w:ascii="Times" w:hAnsi="Times" w:cs="Times"/>
          <w:lang w:val="nl-NL"/>
        </w:rPr>
      </w:pPr>
      <w:r>
        <w:rPr>
          <w:rFonts w:cs="Times" w:ascii="Times" w:hAnsi="Times"/>
          <w:lang w:val="nl-NL"/>
        </w:rPr>
        <w:t>2. Hendriksen &amp; Reitsma</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t>Jaren van oplevering</w:t>
      </w:r>
    </w:p>
    <w:p>
      <w:pPr>
        <w:pStyle w:val="T1"/>
        <w:rPr>
          <w:rFonts w:ascii="Times" w:hAnsi="Times" w:cs="Times"/>
          <w:lang w:val="nl-NL"/>
        </w:rPr>
      </w:pPr>
      <w:r>
        <w:rPr>
          <w:rFonts w:cs="Times" w:ascii="Times" w:hAnsi="Times"/>
          <w:lang w:val="nl-NL"/>
        </w:rPr>
        <w:t>1. 1895</w:t>
      </w:r>
    </w:p>
    <w:p>
      <w:pPr>
        <w:pStyle w:val="T1"/>
        <w:rPr>
          <w:rFonts w:ascii="Times" w:hAnsi="Times" w:cs="Times"/>
          <w:lang w:val="nl-NL"/>
        </w:rPr>
      </w:pPr>
      <w:r>
        <w:rPr>
          <w:rFonts w:cs="Times" w:ascii="Times" w:hAnsi="Times"/>
          <w:lang w:val="nl-NL"/>
        </w:rPr>
        <w:t>2. 1976</w:t>
      </w:r>
    </w:p>
    <w:p>
      <w:pPr>
        <w:pStyle w:val="T1"/>
        <w:rPr>
          <w:rFonts w:ascii="Times" w:hAnsi="Times" w:cs="Times"/>
          <w:lang w:val="nl-NL"/>
        </w:rPr>
      </w:pPr>
      <w:r>
        <w:rPr>
          <w:rFonts w:cs="Times" w:ascii="Times" w:hAnsi="Times"/>
          <w:lang w:val="nl-NL"/>
        </w:rPr>
      </w:r>
    </w:p>
    <w:p>
      <w:pPr>
        <w:pStyle w:val="T1"/>
        <w:rPr>
          <w:rFonts w:ascii="Times" w:hAnsi="Times" w:cs="Times"/>
          <w:lang w:val="nl-NL"/>
        </w:rPr>
      </w:pPr>
      <w:r>
        <w:rPr>
          <w:rFonts w:cs="Times" w:ascii="Times" w:hAnsi="Times"/>
          <w:lang w:val="nl-NL"/>
        </w:rPr>
      </w:r>
    </w:p>
    <w:p>
      <w:pPr>
        <w:pStyle w:val="T1"/>
        <w:rPr/>
      </w:pPr>
      <w:r>
        <w:rPr/>
        <w:t>Dispositie 1895</w:t>
      </w:r>
    </w:p>
    <w:tbl>
      <w:tblPr>
        <w:tblW w:w="4841" w:type="dxa"/>
        <w:jc w:val="start"/>
        <w:tblInd w:w="-70" w:type="dxa"/>
        <w:tblLayout w:type="fixed"/>
        <w:tblCellMar>
          <w:top w:w="0" w:type="dxa"/>
          <w:start w:w="70" w:type="dxa"/>
          <w:bottom w:w="0" w:type="dxa"/>
          <w:end w:w="70" w:type="dxa"/>
        </w:tblCellMar>
      </w:tblPr>
      <w:tblGrid>
        <w:gridCol w:w="1510"/>
        <w:gridCol w:w="900"/>
        <w:gridCol w:w="1800"/>
        <w:gridCol w:w="631"/>
      </w:tblGrid>
      <w:tr>
        <w:trPr/>
        <w:tc>
          <w:tcPr>
            <w:tcW w:w="1510" w:type="dxa"/>
            <w:tcBorders/>
          </w:tcPr>
          <w:p>
            <w:pPr>
              <w:pStyle w:val="T4dispositie"/>
              <w:rPr>
                <w:lang w:val="nl-NL"/>
              </w:rPr>
            </w:pPr>
            <w:r>
              <w:rPr>
                <w:i/>
                <w:iCs/>
                <w:lang w:val="nl-NL"/>
              </w:rPr>
              <w:t>Hoofdwerk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Open 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90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800" w:type="dxa"/>
            <w:tcBorders/>
          </w:tcPr>
          <w:p>
            <w:pPr>
              <w:pStyle w:val="T4dispositie"/>
              <w:rPr>
                <w:lang w:val="nl-NL"/>
              </w:rPr>
            </w:pPr>
            <w:r>
              <w:rPr>
                <w:i/>
                <w:iCs/>
                <w:lang w:val="nl-NL"/>
              </w:rPr>
              <w:t>Bovenwerk (II)</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Prestant</w:t>
            </w:r>
          </w:p>
          <w:p>
            <w:pPr>
              <w:pStyle w:val="T4dispositie"/>
              <w:rPr>
                <w:lang w:val="nl-NL"/>
              </w:rPr>
            </w:pPr>
            <w:r>
              <w:rPr>
                <w:lang w:val="nl-NL"/>
              </w:rPr>
              <w:t>Salicionaal</w:t>
            </w:r>
          </w:p>
        </w:tc>
        <w:tc>
          <w:tcPr>
            <w:tcW w:w="63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rPr>
          <w:sz w:val="20"/>
          <w:lang w:val="nl-NL"/>
        </w:rPr>
      </w:pPr>
      <w:r>
        <w:rPr>
          <w:sz w:val="20"/>
          <w:lang w:val="nl-NL"/>
        </w:rPr>
      </w:r>
    </w:p>
    <w:p>
      <w:pPr>
        <w:pStyle w:val="T1"/>
        <w:rPr>
          <w:rFonts w:ascii="Times" w:hAnsi="Times" w:cs="Times"/>
          <w:sz w:val="20"/>
          <w:lang w:val="nl-NL"/>
        </w:rPr>
      </w:pPr>
      <w:r>
        <w:rPr>
          <w:rFonts w:cs="Times" w:ascii="Times" w:hAnsi="Times"/>
          <w:sz w:val="20"/>
          <w:lang w:val="nl-NL"/>
        </w:rPr>
        <w:t>aangehangen pedaal</w:t>
      </w:r>
    </w:p>
    <w:p>
      <w:pPr>
        <w:pStyle w:val="T1"/>
        <w:rPr>
          <w:rFonts w:ascii="Times" w:hAnsi="Times" w:cs="Times"/>
          <w:sz w:val="20"/>
          <w:lang w:val="nl-NL"/>
        </w:rPr>
      </w:pPr>
      <w:r>
        <w:rPr>
          <w:rFonts w:cs="Times" w:ascii="Times" w:hAnsi="Times"/>
          <w:sz w:val="20"/>
          <w:lang w:val="nl-NL"/>
        </w:rPr>
        <w:t>manuaalkoppel (trede)</w:t>
      </w:r>
    </w:p>
    <w:p>
      <w:pPr>
        <w:pStyle w:val="T1"/>
        <w:rPr>
          <w:rFonts w:ascii="Times" w:hAnsi="Times" w:cs="Times"/>
          <w:sz w:val="20"/>
          <w:lang w:val="nl-NL"/>
        </w:rPr>
      </w:pPr>
      <w:r>
        <w:rPr>
          <w:rFonts w:cs="Times" w:ascii="Times" w:hAnsi="Times"/>
          <w:sz w:val="20"/>
          <w:lang w:val="nl-NL"/>
        </w:rPr>
        <w:t>afsluiter Manuaal (trede)</w:t>
      </w:r>
    </w:p>
    <w:p>
      <w:pPr>
        <w:pStyle w:val="T1"/>
        <w:rPr>
          <w:rFonts w:ascii="Times" w:hAnsi="Times" w:cs="Times"/>
          <w:sz w:val="20"/>
          <w:lang w:val="nl-NL"/>
        </w:rPr>
      </w:pPr>
      <w:r>
        <w:rPr>
          <w:rFonts w:cs="Times" w:ascii="Times" w:hAnsi="Times"/>
          <w:sz w:val="20"/>
          <w:lang w:val="nl-NL"/>
        </w:rPr>
        <w:t>ventiel</w:t>
      </w:r>
    </w:p>
    <w:p>
      <w:pPr>
        <w:pStyle w:val="T1"/>
        <w:rPr>
          <w:rFonts w:ascii="Times" w:hAnsi="Times" w:cs="Times"/>
          <w:sz w:val="20"/>
          <w:lang w:val="nl-NL"/>
        </w:rPr>
      </w:pPr>
      <w:r>
        <w:rPr>
          <w:rFonts w:cs="Times" w:ascii="Times" w:hAnsi="Times"/>
          <w:sz w:val="20"/>
          <w:lang w:val="nl-NL"/>
        </w:rPr>
      </w:r>
    </w:p>
    <w:p>
      <w:pPr>
        <w:pStyle w:val="T1"/>
        <w:rPr>
          <w:rFonts w:ascii="Times" w:hAnsi="Times" w:cs="Times"/>
          <w:lang w:val="nl-NL"/>
        </w:rPr>
      </w:pPr>
      <w:r>
        <w:rPr>
          <w:rFonts w:cs="Times" w:ascii="Times" w:hAnsi="Times"/>
          <w:lang w:val="nl-NL"/>
        </w:rPr>
        <w:t>Onbekend moment</w:t>
      </w:r>
    </w:p>
    <w:p>
      <w:pPr>
        <w:pStyle w:val="T1"/>
        <w:numPr>
          <w:ilvl w:val="0"/>
          <w:numId w:val="2"/>
        </w:numPr>
        <w:rPr>
          <w:rFonts w:ascii="Times" w:hAnsi="Times" w:cs="Times"/>
          <w:lang w:val="nl-NL"/>
        </w:rPr>
      </w:pPr>
      <w:r>
        <w:rPr>
          <w:rFonts w:cs="Times" w:ascii="Times" w:hAnsi="Times"/>
          <w:lang w:val="nl-NL"/>
        </w:rPr>
        <w:t>orgelkas wit geschilderd</w:t>
      </w:r>
    </w:p>
    <w:p>
      <w:pPr>
        <w:pStyle w:val="T1"/>
        <w:rPr>
          <w:rFonts w:ascii="Times" w:hAnsi="Times" w:cs="Times"/>
          <w:lang w:val="nl-NL"/>
        </w:rPr>
      </w:pPr>
      <w:r>
        <w:rPr>
          <w:rFonts w:cs="Times" w:ascii="Times" w:hAnsi="Times"/>
          <w:lang w:val="nl-NL"/>
        </w:rPr>
      </w:r>
    </w:p>
    <w:p>
      <w:pPr>
        <w:pStyle w:val="T1"/>
        <w:jc w:val="start"/>
        <w:rPr>
          <w:lang w:val="nl-NL"/>
        </w:rPr>
      </w:pPr>
      <w:r>
        <w:rPr>
          <w:lang w:val="nl-NL"/>
        </w:rPr>
        <w:t>Hendriksen &amp; Reitsma 1976</w:t>
      </w:r>
    </w:p>
    <w:p>
      <w:pPr>
        <w:pStyle w:val="T1"/>
        <w:numPr>
          <w:ilvl w:val="0"/>
          <w:numId w:val="2"/>
        </w:numPr>
        <w:jc w:val="start"/>
        <w:rPr>
          <w:lang w:val="nl-NL"/>
        </w:rPr>
      </w:pPr>
      <w:r>
        <w:rPr>
          <w:lang w:val="nl-NL"/>
        </w:rPr>
        <w:t>orgel gerestaureerd en uitgebreid met Ped</w:t>
      </w:r>
    </w:p>
    <w:p>
      <w:pPr>
        <w:pStyle w:val="T1"/>
        <w:numPr>
          <w:ilvl w:val="0"/>
          <w:numId w:val="2"/>
        </w:numPr>
        <w:jc w:val="start"/>
        <w:rPr>
          <w:lang w:val="nl-NL"/>
        </w:rPr>
      </w:pPr>
      <w:r>
        <w:rPr>
          <w:lang w:val="nl-NL"/>
        </w:rPr>
        <w:t>orgelkas opnieuw geschilderd</w:t>
      </w:r>
    </w:p>
    <w:p>
      <w:pPr>
        <w:pStyle w:val="T1"/>
        <w:numPr>
          <w:ilvl w:val="0"/>
          <w:numId w:val="2"/>
        </w:numPr>
        <w:jc w:val="start"/>
        <w:rPr>
          <w:lang w:val="nl-NL"/>
        </w:rPr>
      </w:pPr>
      <w:r>
        <w:rPr>
          <w:lang w:val="nl-NL"/>
        </w:rPr>
        <w:t>nieuwe cancellenraam lade BW</w:t>
      </w:r>
    </w:p>
    <w:p>
      <w:pPr>
        <w:pStyle w:val="T1"/>
        <w:numPr>
          <w:ilvl w:val="0"/>
          <w:numId w:val="2"/>
        </w:numPr>
        <w:jc w:val="start"/>
        <w:rPr>
          <w:lang w:val="nl-NL"/>
        </w:rPr>
      </w:pPr>
      <w:r>
        <w:rPr>
          <w:lang w:val="nl-NL"/>
        </w:rPr>
        <w:t>nieuw pedaalklavier; nieuwe registerplaatjes</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Mixtuur 2-4 st.</w:t>
      </w:r>
    </w:p>
    <w:p>
      <w:pPr>
        <w:pStyle w:val="T1"/>
        <w:ind w:start="708" w:hanging="0"/>
        <w:jc w:val="start"/>
        <w:rPr>
          <w:lang w:val="nl-NL"/>
        </w:rPr>
      </w:pPr>
      <w:r>
        <w:rPr>
          <w:lang w:val="nl-NL"/>
        </w:rPr>
        <w:t>BW + Nasard 3', + Woudfluit 2', + Clarinet 8'</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bovenwerk, pedaal</w:t>
      </w:r>
    </w:p>
    <w:p>
      <w:pPr>
        <w:pStyle w:val="T1"/>
        <w:rPr>
          <w:lang w:val="nl-NL"/>
        </w:rPr>
      </w:pPr>
      <w:r>
        <w:rPr>
          <w:lang w:val="nl-NL"/>
        </w:rPr>
      </w:r>
    </w:p>
    <w:p>
      <w:pPr>
        <w:pStyle w:val="T1"/>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800"/>
        <w:gridCol w:w="631"/>
        <w:gridCol w:w="1643"/>
        <w:gridCol w:w="388"/>
      </w:tblGrid>
      <w:tr>
        <w:trPr/>
        <w:tc>
          <w:tcPr>
            <w:tcW w:w="151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Open 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 B/D</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2-4 st.</w:t>
            </w:r>
          </w:p>
          <w:p>
            <w:pPr>
              <w:pStyle w:val="T4dispositie"/>
              <w:rPr>
                <w:lang w:val="nl-NL"/>
              </w:rPr>
            </w:pPr>
            <w:r>
              <w:rPr>
                <w:lang w:val="nl-NL"/>
              </w:rPr>
              <w:t>4 st.</w:t>
            </w:r>
          </w:p>
          <w:p>
            <w:pPr>
              <w:pStyle w:val="T4dispositie"/>
              <w:rPr>
                <w:lang w:val="nl-NL"/>
              </w:rPr>
            </w:pPr>
            <w:r>
              <w:rPr>
                <w:lang w:val="nl-NL"/>
              </w:rPr>
              <w:t>8'</w:t>
            </w:r>
          </w:p>
        </w:tc>
        <w:tc>
          <w:tcPr>
            <w:tcW w:w="1800" w:type="dxa"/>
            <w:tcBorders/>
          </w:tcPr>
          <w:p>
            <w:pPr>
              <w:pStyle w:val="T4dispositie"/>
              <w:rPr>
                <w:i/>
                <w:i/>
                <w:iCs/>
                <w:lang w:val="nl-NL"/>
              </w:rPr>
            </w:pPr>
            <w:r>
              <w:rPr>
                <w:i/>
                <w:iCs/>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Salicionaal</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Clarinet</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643"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Gedekt</w:t>
            </w:r>
          </w:p>
          <w:p>
            <w:pPr>
              <w:pStyle w:val="T4dispositie"/>
              <w:rPr>
                <w:lang w:val="nl-NL"/>
              </w:rPr>
            </w:pPr>
            <w:r>
              <w:rPr>
                <w:lang w:val="nl-NL"/>
              </w:rPr>
              <w:t>Koraalbas</w:t>
            </w:r>
          </w:p>
          <w:p>
            <w:pPr>
              <w:pStyle w:val="T4dispositie"/>
              <w:rPr>
                <w:lang w:val="nl-NL"/>
              </w:rPr>
            </w:pPr>
            <w:r>
              <w:rPr>
                <w:lang w:val="nl-NL"/>
              </w:rPr>
              <w:t>Bazuin</w:t>
            </w:r>
          </w:p>
        </w:tc>
        <w:tc>
          <w:tcPr>
            <w:tcW w:w="38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koppel Ped-HW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(1895)</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vurenhouten orgelkas was oorspronkelijk in een lichtbruine houtimitatie geschilderd.</w:t>
      </w:r>
    </w:p>
    <w:p>
      <w:pPr>
        <w:pStyle w:val="T1"/>
        <w:jc w:val="start"/>
        <w:rPr>
          <w:lang w:val="nl-NL"/>
        </w:rPr>
      </w:pPr>
      <w:r>
        <w:rPr>
          <w:lang w:val="nl-NL"/>
        </w:rPr>
        <w:t>De magazijnbalg bevindt zich in de onderkas. Het ventiel bevindt zich in het windkanaal naar het BW.</w:t>
      </w:r>
    </w:p>
    <w:p>
      <w:pPr>
        <w:pStyle w:val="T1"/>
        <w:jc w:val="start"/>
        <w:rPr>
          <w:lang w:val="nl-NL"/>
        </w:rPr>
      </w:pPr>
      <w:r>
        <w:rPr>
          <w:lang w:val="nl-NL"/>
        </w:rPr>
        <w:t>De vierkante registertrekkers hebben ebbenhouten knoppen met daarop porseleinen registerplaatjes met zwarte opschriften. De registerknoppen voor de manuaalregisters bevinden zich in twee horizontale rijen boven de lessenaar: in de onderste rij tien knoppen voor het HW en in de bovenste rij zeven knoppen voor het BW plus het ventiel. De knoppen voor het Pedaal zijn links van de handklavieren aangebracht; die voor de tremulant, de manuaalkoppel en de pedaalkoppel rechts. De afsluiter is uitgevoerd als trede. De ondertoetsen van de handklavieren zijn belegd met ivoor. Het pedaalklavier is van eiken.</w:t>
      </w:r>
    </w:p>
    <w:p>
      <w:pPr>
        <w:pStyle w:val="T1"/>
        <w:jc w:val="start"/>
        <w:rPr>
          <w:lang w:val="nl-NL"/>
        </w:rPr>
      </w:pPr>
      <w:r>
        <w:rPr>
          <w:lang w:val="nl-NL"/>
        </w:rPr>
        <w:t>In 1976 is het cancellenraam van de BW-lade vergroot en zijn drie nieuwe pijpstokken en slepen toegevoegd.</w:t>
      </w:r>
    </w:p>
    <w:p>
      <w:pPr>
        <w:pStyle w:val="T1"/>
        <w:jc w:val="start"/>
        <w:rPr>
          <w:lang w:val="nl-NL"/>
        </w:rPr>
      </w:pPr>
      <w:r>
        <w:rPr>
          <w:lang w:val="nl-NL"/>
        </w:rPr>
        <w:t>Het metalen pijpwerk is (voor zover origineel) geleverd door de firma Laukhuff. Het open pijpwerk is voorzien van expressions. De frontpijpen zijn van tin (gepolijst) met bronsverf op de labia. De Prestant 8' van het HW staat grotendeels in het front. C-h van de Bourdon 16' zijn van eiken en van de lade afgevoerd. Ook C-H van de Holpijp 8' zijn van eiken; deze pijpen staan afgevoerd tussen lade en front. De Salicionaal 8' is van C-H gecombineerd met de Holpijp. De Cornet is in 1976 op een verhoogde bank geplaatst om de toevoeging van de Mixtuur mogelijk te maken.</w:t>
      </w:r>
    </w:p>
    <w:p>
      <w:pPr>
        <w:pStyle w:val="T1"/>
        <w:jc w:val="start"/>
        <w:rPr>
          <w:lang w:val="nl-NL"/>
        </w:rPr>
      </w:pPr>
      <w:r>
        <w:rPr>
          <w:lang w:val="nl-NL"/>
        </w:rPr>
        <w:t>De Prestant 4' van het BW staat deels in het front. C-H van de Roerfluit 8' is van hout en staat afgevoerd vóór de lade. Vanaf c is het register van orgelmetaal met lange roeren. De niet originele pijpen in het hoogste octaaf van de Salicionaal 4' zijn in 1976 vervangen door bijpassend oud materiaal. De Woudfluit 2' is vrijwel geheel gedekt; het hoogste octaaf is open, conisch. De Clarinet 8' is afkomstig uit het door P.J. Vermeulen &amp; Zonen in 1909 gebouwde orgel in de parochiekerk van Bunde.</w:t>
      </w:r>
    </w:p>
    <w:p>
      <w:pPr>
        <w:pStyle w:val="T1"/>
        <w:jc w:val="start"/>
        <w:rPr>
          <w:lang w:val="nl-NL"/>
        </w:rPr>
      </w:pPr>
      <w:r>
        <w:rPr>
          <w:lang w:val="nl-NL"/>
        </w:rPr>
        <w:t>De eiken Bazuin 16' van het Ped is vervaardigd door de fa Gebr. Vermeulen naar voorbeeld van de Bazuin (1891) in het orgel te Mechelen (1851, deel 1850-1858, 91-94).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b/>
      <w:bCs/>
      <w:spacing w:val="-3"/>
      <w:sz w:val="20"/>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2008-05-05T12:26:00Z</dcterms:created>
  <dc:creator>WS1</dc:creator>
  <dc:description/>
  <dc:language>en-US</dc:language>
  <cp:lastModifiedBy>NIvO</cp:lastModifiedBy>
  <dcterms:modified xsi:type="dcterms:W3CDTF">2008-07-21T10:21:00Z</dcterms:modified>
  <cp:revision>6</cp:revision>
  <dc:subject/>
  <dc:title>Schagen / 1879</dc:title>
</cp:coreProperties>
</file>