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Jubbega-Schurega / 1895</w:t>
      </w:r>
    </w:p>
    <w:p>
      <w:pPr>
        <w:pStyle w:val="Heading2"/>
        <w:jc w:val="both"/>
        <w:rPr>
          <w:i w:val="false"/>
          <w:i w:val="false"/>
          <w:iCs/>
        </w:rPr>
      </w:pPr>
      <w:r>
        <w:rPr>
          <w:i w:val="false"/>
          <w:iCs/>
        </w:rPr>
        <w:t>Hervormde Kerk</w:t>
      </w:r>
    </w:p>
    <w:p>
      <w:pPr>
        <w:pStyle w:val="T1"/>
        <w:jc w:val="start"/>
        <w:rPr>
          <w:i/>
          <w:i/>
          <w:iCs/>
          <w:lang w:val="nl-NL"/>
        </w:rPr>
      </w:pPr>
      <w:r>
        <w:rPr>
          <w:i/>
          <w:iCs/>
          <w:lang w:val="nl-NL"/>
        </w:rPr>
      </w:r>
    </w:p>
    <w:p>
      <w:pPr>
        <w:pStyle w:val="Normal"/>
        <w:rPr>
          <w:rFonts w:ascii="Times New Roman" w:hAnsi="Times New Roman" w:cs="Times New Roman"/>
          <w:i/>
          <w:i/>
        </w:rPr>
      </w:pPr>
      <w:r>
        <w:rPr>
          <w:rFonts w:cs="Times New Roman" w:ascii="Times New Roman" w:hAnsi="Times New Roman"/>
          <w:i/>
        </w:rPr>
        <w:t>Driezijdig gesloten zaalkerk uit 1715, in 1910 van een geveltoren voorzien. Kansel uit ca 1700.</w:t>
      </w:r>
    </w:p>
    <w:p>
      <w:pPr>
        <w:pStyle w:val="T1"/>
        <w:jc w:val="start"/>
        <w:rPr>
          <w:rFonts w:ascii="Times New Roman" w:hAnsi="Times New Roman" w:cs="Times New Roman"/>
          <w:i/>
          <w:i/>
          <w:lang w:val="nl-NL"/>
        </w:rPr>
      </w:pPr>
      <w:r>
        <w:rPr>
          <w:rFonts w:cs="Times New Roman"/>
          <w:i/>
          <w:lang w:val="nl-NL"/>
        </w:rPr>
      </w:r>
    </w:p>
    <w:p>
      <w:pPr>
        <w:pStyle w:val="T1"/>
        <w:jc w:val="start"/>
        <w:rPr>
          <w:lang w:val="nl-NL"/>
        </w:rPr>
      </w:pPr>
      <w:r>
        <w:rPr>
          <w:lang w:val="nl-NL"/>
        </w:rPr>
        <w:t>Kas: 1895</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lang w:val="nl-NL"/>
        </w:rPr>
      </w:pPr>
      <w:r>
        <w:rPr>
          <w:lang w:val="nl-NL"/>
        </w:rPr>
        <w:t>Rechthoekige kas met forse bovenlijst die nog ergens aan een klassieke kroonlijst doet denken. In het bovenste deel drie vlakke frontvelden, afgesloten door simpel gelobde boogvormige lijsten. Het front kan met deuren worden gesloten.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39, 194.</w:t>
      </w:r>
    </w:p>
    <w:p>
      <w:pPr>
        <w:pStyle w:val="T3Lit"/>
        <w:jc w:val="start"/>
        <w:rPr/>
      </w:pPr>
      <w:r>
        <w:rPr>
          <w:i/>
          <w:iCs/>
          <w:lang w:val="nl-NL"/>
        </w:rPr>
        <w:t>De Mixtuur</w:t>
      </w:r>
      <w:r>
        <w:rPr>
          <w:lang w:val="nl-NL"/>
        </w:rPr>
        <w:t>, 34 (1981), 150-152.</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Orgelmakerij Bakker &amp; Timmenga, Leeuwarden, HCL.</w:t>
      </w:r>
    </w:p>
    <w:p>
      <w:pPr>
        <w:pStyle w:val="T3Lit"/>
        <w:jc w:val="start"/>
        <w:rPr>
          <w:lang w:val="nl-NL"/>
        </w:rPr>
      </w:pPr>
      <w:r>
        <w:rPr>
          <w:lang w:val="nl-NL"/>
        </w:rPr>
      </w:r>
    </w:p>
    <w:p>
      <w:pPr>
        <w:pStyle w:val="T3Lit"/>
        <w:jc w:val="start"/>
        <w:rPr>
          <w:lang w:val="nl-NL"/>
        </w:rPr>
      </w:pPr>
      <w:r>
        <w:rPr>
          <w:lang w:val="nl-NL"/>
        </w:rPr>
        <w:t>Orgelnummer 152</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van Gelder?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Bakker &amp; Timmenga 1937</w:t>
      </w:r>
    </w:p>
    <w:p>
      <w:pPr>
        <w:pStyle w:val="T1"/>
        <w:numPr>
          <w:ilvl w:val="0"/>
          <w:numId w:val="2"/>
        </w:numPr>
        <w:jc w:val="start"/>
        <w:rPr>
          <w:lang w:val="nl-NL"/>
        </w:rPr>
      </w:pPr>
      <w:r>
        <w:rPr>
          <w:lang w:val="nl-NL"/>
        </w:rPr>
        <w:t>orgel geplaatst te Ter Idzard, Hervormde Kerk</w:t>
      </w:r>
    </w:p>
    <w:p>
      <w:pPr>
        <w:pStyle w:val="T1"/>
        <w:jc w:val="start"/>
        <w:rPr>
          <w:lang w:val="nl-NL"/>
        </w:rPr>
      </w:pPr>
      <w:r>
        <w:rPr>
          <w:lang w:val="nl-NL"/>
        </w:rPr>
      </w:r>
    </w:p>
    <w:p>
      <w:pPr>
        <w:pStyle w:val="T1"/>
        <w:jc w:val="start"/>
        <w:rPr>
          <w:lang w:val="nl-NL"/>
        </w:rPr>
      </w:pPr>
      <w:r>
        <w:rPr>
          <w:lang w:val="nl-NL"/>
        </w:rPr>
        <w:t>Orgelmakerij Bakker &amp; Timmenga 1979</w:t>
      </w:r>
    </w:p>
    <w:p>
      <w:pPr>
        <w:pStyle w:val="T1"/>
        <w:numPr>
          <w:ilvl w:val="0"/>
          <w:numId w:val="2"/>
        </w:numPr>
        <w:jc w:val="start"/>
        <w:rPr>
          <w:lang w:val="nl-NL"/>
        </w:rPr>
      </w:pPr>
      <w:r>
        <w:rPr>
          <w:lang w:val="nl-NL"/>
        </w:rPr>
        <w:t>orgel overgeplaatst naar Jubbega-Schurega, Hervormde Kerk</w:t>
      </w:r>
    </w:p>
    <w:p>
      <w:pPr>
        <w:pStyle w:val="T1"/>
        <w:jc w:val="start"/>
        <w:rPr>
          <w:lang w:val="nl-NL"/>
        </w:rPr>
      </w:pPr>
      <w:r>
        <w:rPr>
          <w:lang w:val="nl-NL"/>
        </w:rPr>
      </w:r>
    </w:p>
    <w:p>
      <w:pPr>
        <w:pStyle w:val="T1"/>
        <w:jc w:val="start"/>
        <w:rPr>
          <w:lang w:val="nl-NL"/>
        </w:rPr>
      </w:pPr>
      <w:r>
        <w:rPr>
          <w:lang w:val="nl-NL"/>
        </w:rPr>
        <w:t>Orgelmakerij Bakker &amp; Timmenga 2006</w:t>
      </w:r>
    </w:p>
    <w:p>
      <w:pPr>
        <w:pStyle w:val="T1"/>
        <w:numPr>
          <w:ilvl w:val="0"/>
          <w:numId w:val="2"/>
        </w:numPr>
        <w:jc w:val="start"/>
        <w:rPr>
          <w:lang w:val="nl-NL"/>
        </w:rPr>
      </w:pPr>
      <w:r>
        <w:rPr>
          <w:lang w:val="nl-NL"/>
        </w:rPr>
        <w:t>windvoorziening gerestaureerd</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w:t>
      </w:r>
    </w:p>
    <w:p>
      <w:pPr>
        <w:pStyle w:val="T1"/>
        <w:jc w:val="start"/>
        <w:rPr>
          <w:lang w:val="nl-NL"/>
        </w:rPr>
      </w:pPr>
      <w:r>
        <w:rPr>
          <w:lang w:val="nl-NL"/>
        </w:rPr>
      </w:r>
    </w:p>
    <w:p>
      <w:pPr>
        <w:pStyle w:val="T1"/>
        <w:jc w:val="start"/>
        <w:rPr/>
      </w:pPr>
      <w:r>
        <w:rPr/>
        <w:t>Dispositie</w:t>
      </w:r>
    </w:p>
    <w:tbl>
      <w:tblPr>
        <w:tblW w:w="2628" w:type="dxa"/>
        <w:jc w:val="start"/>
        <w:tblInd w:w="-108" w:type="dxa"/>
        <w:tblLayout w:type="fixed"/>
        <w:tblCellMar>
          <w:top w:w="0" w:type="dxa"/>
          <w:start w:w="108" w:type="dxa"/>
          <w:bottom w:w="0" w:type="dxa"/>
          <w:end w:w="108" w:type="dxa"/>
        </w:tblCellMar>
      </w:tblPr>
      <w:tblGrid>
        <w:gridCol w:w="2088"/>
        <w:gridCol w:w="540"/>
      </w:tblGrid>
      <w:tr>
        <w:trPr/>
        <w:tc>
          <w:tcPr>
            <w:tcW w:w="2088" w:type="dxa"/>
            <w:tcBorders/>
          </w:tcPr>
          <w:p>
            <w:pPr>
              <w:pStyle w:val="T4dispositie"/>
              <w:jc w:val="start"/>
              <w:rPr>
                <w:i/>
                <w:i/>
                <w:lang w:val="nl-NL"/>
              </w:rPr>
            </w:pPr>
            <w:r>
              <w:rPr>
                <w:i/>
                <w:lang w:val="nl-NL"/>
              </w:rPr>
              <w:t>Manuaal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Prestant B/D</w:t>
            </w:r>
          </w:p>
          <w:p>
            <w:pPr>
              <w:pStyle w:val="T4dispositie"/>
              <w:jc w:val="start"/>
              <w:rPr>
                <w:lang w:val="nl-NL"/>
              </w:rPr>
            </w:pPr>
            <w:r>
              <w:rPr>
                <w:lang w:val="nl-NL"/>
              </w:rPr>
              <w:t>Bourdon B/D</w:t>
            </w:r>
          </w:p>
          <w:p>
            <w:pPr>
              <w:pStyle w:val="T4dispositie"/>
              <w:jc w:val="start"/>
              <w:rPr>
                <w:lang w:val="nl-NL"/>
              </w:rPr>
            </w:pPr>
            <w:r>
              <w:rPr>
                <w:lang w:val="nl-NL"/>
              </w:rPr>
              <w:t>Viola D</w:t>
            </w:r>
          </w:p>
          <w:p>
            <w:pPr>
              <w:pStyle w:val="T4dispositie"/>
              <w:jc w:val="start"/>
              <w:rPr>
                <w:lang w:val="nl-NL"/>
              </w:rPr>
            </w:pPr>
            <w:r>
              <w:rPr>
                <w:lang w:val="nl-NL"/>
              </w:rPr>
              <w:t>Fluit Harmonique B/D</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schepbalg en twee voettreden (1895)</w:t>
      </w:r>
    </w:p>
    <w:p>
      <w:pPr>
        <w:pStyle w:val="T1"/>
        <w:jc w:val="start"/>
        <w:rPr>
          <w:lang w:val="nl-NL"/>
        </w:rPr>
      </w:pPr>
      <w:r>
        <w:rPr>
          <w:lang w:val="nl-NL"/>
        </w:rPr>
        <w:t>Winddruk</w:t>
      </w:r>
    </w:p>
    <w:p>
      <w:pPr>
        <w:pStyle w:val="T1"/>
        <w:jc w:val="start"/>
        <w:rPr>
          <w:lang w:val="nl-NL"/>
        </w:rPr>
      </w:pPr>
      <w:r>
        <w:rPr>
          <w:lang w:val="nl-NL"/>
        </w:rPr>
        <w:t>niet meetbaar</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Uit het archief van Orgelmakerij Bakker &amp; Timmenga kan worden afgeleid dat het orgel indertijd door de firma Bakker &amp; Timmenga is aangekocht uit de boedel van de firma A. Standaart, na het faillissement van deze firma. Bij de restauratie van de windvoorziening in 2006 werden op het bovenblad van de balg de volgende handgeschreven opschriften gevonden:</w:t>
      </w:r>
    </w:p>
    <w:p>
      <w:pPr>
        <w:pStyle w:val="T1"/>
        <w:jc w:val="start"/>
        <w:rPr/>
      </w:pPr>
      <w:r>
        <w:rPr>
          <w:i/>
          <w:iCs/>
          <w:lang w:val="nl-NL"/>
        </w:rPr>
        <w:t>W.P. Jürgens 1931; S. van Swieten de Blom Mei 1895; Orgelfabriek J. van Gelder Leiden</w:t>
      </w:r>
      <w:r>
        <w:rPr>
          <w:lang w:val="nl-NL"/>
        </w:rPr>
        <w:t>.</w:t>
      </w:r>
    </w:p>
    <w:p>
      <w:pPr>
        <w:pStyle w:val="T1"/>
        <w:jc w:val="start"/>
        <w:rPr>
          <w:lang w:val="nl-NL"/>
        </w:rPr>
      </w:pPr>
      <w:r>
        <w:rPr>
          <w:lang w:val="nl-NL"/>
        </w:rPr>
        <w:t>Hoewel het niet ondenkbaar is dat deze vondst de vraag naar maker en bouwjaar oplost, moet toch een voorbehoud worden gemaakt vanwege de vermelding met het jaartal 1931. Jürgens was toen een medewerker van de firma Bakker &amp; Timmenga. Mogelijk zette hij zijn naam op de balg in het jaar waarin het orgel door de firma Bakker &amp; Timmenga werd verworven.</w:t>
      </w:r>
    </w:p>
    <w:p>
      <w:pPr>
        <w:pStyle w:val="T1"/>
        <w:jc w:val="start"/>
        <w:rPr>
          <w:lang w:val="nl-NL"/>
        </w:rPr>
      </w:pPr>
      <w:r>
        <w:rPr>
          <w:lang w:val="nl-NL"/>
        </w:rPr>
        <w:t>De orgelkas is van eiken, geschilderd. De windvoorziening bevindt zich in de onderkas, de bedieningstreden zijn als harmoniumtrappers uitgevoerd.</w:t>
      </w:r>
    </w:p>
    <w:p>
      <w:pPr>
        <w:pStyle w:val="T1"/>
        <w:jc w:val="start"/>
        <w:rPr>
          <w:lang w:val="nl-NL"/>
        </w:rPr>
      </w:pPr>
      <w:r>
        <w:rPr>
          <w:lang w:val="nl-NL"/>
        </w:rPr>
        <w:t>Het handklavier heeft celluloid beleg op de ondertoetsen. De registerknoppen, aangebracht op ronde trekarmen, zijn voorzien van porseleinen naamplaatjes. Het speelmechaniek is aangelegd met twee balansjes per toets, waaiervormig.</w:t>
      </w:r>
    </w:p>
    <w:p>
      <w:pPr>
        <w:pStyle w:val="T1"/>
        <w:jc w:val="start"/>
        <w:rPr>
          <w:lang w:val="nl-NL"/>
        </w:rPr>
      </w:pPr>
      <w:r>
        <w:rPr>
          <w:lang w:val="nl-NL"/>
        </w:rPr>
        <w:t>De chromatisch ingedeelde eiken lade ligt laag in de kas en is aan de voorzijde voorzien van twee opliggende voorslagen.</w:t>
      </w:r>
    </w:p>
    <w:p>
      <w:pPr>
        <w:pStyle w:val="T1"/>
        <w:jc w:val="start"/>
        <w:rPr/>
      </w:pPr>
      <w:r>
        <w:rPr>
          <w:lang w:val="nl-NL"/>
        </w:rPr>
        <w:t>Het pijpwerk heeft slagletters; bij de metalen pijpen is het bovenlabium nauwelijks gevlakt, het onderlabium flauw bijgedrukt. Vrijwel alle open pijpen zijn van expressions voorzien. De Prestant 8' is in het groot octaaf gecombineerd met de Bourdon, in het front spreken c</w:t>
      </w:r>
      <w:r>
        <w:rPr>
          <w:vertAlign w:val="superscript"/>
          <w:lang w:val="nl-NL"/>
        </w:rPr>
        <w:t>1</w:t>
      </w:r>
      <w:r>
        <w:rPr>
          <w:lang w:val="nl-NL"/>
        </w:rPr>
        <w:t>-f</w:t>
      </w:r>
      <w:r>
        <w:rPr>
          <w:vertAlign w:val="superscript"/>
          <w:lang w:val="nl-NL"/>
        </w:rPr>
        <w:t>2</w:t>
      </w:r>
      <w:r>
        <w:rPr>
          <w:lang w:val="nl-NL"/>
        </w:rPr>
        <w:t>, in het middenveld en het rechter zijveld, het linker veld is stom. De frontpijpen hebben opgeworpen vergulde labia. De Bourdon heeft eiken pijpen in de bas. De Viola heeft freins bij c</w:t>
      </w:r>
      <w:r>
        <w:rPr>
          <w:vertAlign w:val="superscript"/>
          <w:lang w:val="nl-NL"/>
        </w:rPr>
        <w:t>1</w:t>
      </w:r>
      <w:r>
        <w:rPr>
          <w:lang w:val="nl-NL"/>
        </w:rPr>
        <w:t>-dis</w:t>
      </w:r>
      <w:r>
        <w:rPr>
          <w:vertAlign w:val="superscript"/>
          <w:lang w:val="nl-NL"/>
        </w:rPr>
        <w:t>1</w:t>
      </w:r>
      <w:r>
        <w:rPr>
          <w:lang w:val="nl-NL"/>
        </w:rPr>
        <w:t>, voorbaardjes bij e</w:t>
      </w:r>
      <w:r>
        <w:rPr>
          <w:vertAlign w:val="superscript"/>
          <w:lang w:val="nl-NL"/>
        </w:rPr>
        <w:t>1</w:t>
      </w:r>
      <w:r>
        <w:rPr>
          <w:lang w:val="nl-NL"/>
        </w:rPr>
        <w:t>-f</w:t>
      </w:r>
      <w:r>
        <w:rPr>
          <w:vertAlign w:val="superscript"/>
          <w:lang w:val="nl-NL"/>
        </w:rPr>
        <w:t>2</w:t>
      </w:r>
      <w:r>
        <w:rPr>
          <w:lang w:val="nl-NL"/>
        </w:rPr>
        <w:t>, en bij de overige pijpen alleen zijbaardjes. De Fluit Harmonique is geheel open van metaal, in de bas met zijbaarden, in de discant zonder zijbaarden.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2008-05-05T12:28:00Z</dcterms:created>
  <dc:creator>WS1</dc:creator>
  <dc:description/>
  <dc:language>en-US</dc:language>
  <cp:lastModifiedBy>NIvO</cp:lastModifiedBy>
  <cp:lastPrinted>2002-01-08T11:24:00Z</cp:lastPrinted>
  <dcterms:modified xsi:type="dcterms:W3CDTF">2008-05-05T12:28:00Z</dcterms:modified>
  <cp:revision>2</cp:revision>
  <dc:subject/>
  <dc:title>Vrouwenpolder/ca 1845</dc:title>
</cp:coreProperties>
</file>