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 xml:space="preserve">Nieuwerkerk aan den IJssel / 1895 </w:t>
      </w:r>
    </w:p>
    <w:p>
      <w:pPr>
        <w:pStyle w:val="Heading2"/>
        <w:jc w:val="both"/>
        <w:rPr>
          <w:i w:val="false"/>
          <w:i w:val="false"/>
          <w:iCs/>
        </w:rPr>
      </w:pPr>
      <w:r>
        <w:rPr>
          <w:i w:val="false"/>
          <w:iCs/>
        </w:rPr>
        <w:t>Gereformeerde Kerk Vrijgemaakt De Lichtkring</w:t>
      </w:r>
    </w:p>
    <w:p>
      <w:pPr>
        <w:pStyle w:val="T1"/>
        <w:jc w:val="start"/>
        <w:rPr>
          <w:i/>
          <w:i/>
          <w:iCs/>
          <w:lang w:val="nl-NL"/>
        </w:rPr>
      </w:pPr>
      <w:r>
        <w:rPr>
          <w:i/>
          <w:iCs/>
          <w:lang w:val="nl-NL"/>
        </w:rPr>
      </w:r>
    </w:p>
    <w:p>
      <w:pPr>
        <w:pStyle w:val="T1"/>
        <w:jc w:val="start"/>
        <w:rPr>
          <w:i/>
          <w:i/>
          <w:iCs/>
          <w:lang w:val="nl-NL"/>
        </w:rPr>
      </w:pPr>
      <w:r>
        <w:rPr>
          <w:i/>
          <w:iCs/>
          <w:lang w:val="nl-NL"/>
        </w:rPr>
        <w:t>Kerkgebouw uit 2004, ontworpen door Hendrik Jan Groeneweg.</w:t>
      </w:r>
    </w:p>
    <w:p>
      <w:pPr>
        <w:pStyle w:val="T1"/>
        <w:jc w:val="start"/>
        <w:rPr>
          <w:i/>
          <w:i/>
          <w:iCs/>
          <w:lang w:val="nl-NL"/>
        </w:rPr>
      </w:pPr>
      <w:r>
        <w:rPr>
          <w:i/>
          <w:iCs/>
          <w:lang w:val="nl-NL"/>
        </w:rPr>
      </w:r>
    </w:p>
    <w:p>
      <w:pPr>
        <w:pStyle w:val="T1"/>
        <w:jc w:val="start"/>
        <w:rPr>
          <w:lang w:val="nl-NL"/>
        </w:rPr>
      </w:pPr>
      <w:r>
        <w:rPr>
          <w:lang w:val="nl-NL"/>
        </w:rPr>
        <w:t>Kas: 1895/1985</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pPr>
      <w:r>
        <w:rPr>
          <w:lang w:val="nl-NL"/>
        </w:rPr>
        <w:t xml:space="preserve">Een open front, typisch voor de Engelse orgelbouw in de 19e eeuw, met bij het lijstwerk enkele neoclassicistische elementen zoals sierknoppen aan de bovenzijde, voluten als consoles van de iets naar voren staande middenkas en tevens voluten aan de voet van de rondbogen van de zijvelden. </w:t>
      </w:r>
      <w:r>
        <w:rPr/>
        <w:t>Geheel in Victoriaanse stijl zijn de pijpen beschilderd, de pijpen van de zijvelden blauw, de pijpen van het middenveld lichtbruin. De beweging van de labia wordt fraai gevolgd door een goudkleurige reeks geschilderde banden erboven en eronder, die als sigarenbandjes om de pijpen zijn heen geschilderd. De overige motieven van het schilderwerk doen klassiek aan, maar doen tevens denken aan Art Nouveau.</w:t>
      </w:r>
    </w:p>
    <w:p>
      <w:pPr>
        <w:pStyle w:val="T2Kunst"/>
        <w:jc w:val="start"/>
        <w:rPr/>
      </w:pPr>
      <w:r>
        <w:rPr/>
      </w:r>
    </w:p>
    <w:p>
      <w:pPr>
        <w:pStyle w:val="T3Lit"/>
        <w:jc w:val="start"/>
        <w:rPr>
          <w:b/>
          <w:b/>
          <w:bCs/>
          <w:lang w:val="nl-NL"/>
        </w:rPr>
      </w:pPr>
      <w:r>
        <w:rPr>
          <w:b/>
          <w:bCs/>
          <w:lang w:val="nl-NL"/>
        </w:rPr>
        <w:t>Literatuur</w:t>
      </w:r>
    </w:p>
    <w:p>
      <w:pPr>
        <w:pStyle w:val="T3Lit"/>
        <w:rPr>
          <w:i/>
          <w:i/>
          <w:iCs/>
        </w:rPr>
      </w:pPr>
      <w:r>
        <w:rPr>
          <w:i/>
          <w:iCs/>
        </w:rPr>
        <w:t>Christelijke Gereformeerde Kerk IJmuiden - Ingebruikneming van het Bishop-orgel. Vrijdag 22 November 1985 - 19.30 uur.</w:t>
      </w:r>
    </w:p>
    <w:p>
      <w:pPr>
        <w:pStyle w:val="T3Lit"/>
        <w:rPr/>
      </w:pPr>
      <w:r>
        <w:rPr>
          <w:i/>
          <w:iCs/>
        </w:rPr>
        <w:t>De Mixtuur</w:t>
      </w:r>
      <w:r>
        <w:rPr/>
        <w:t>, 53 (1986), 140-143.</w:t>
      </w:r>
    </w:p>
    <w:p>
      <w:pPr>
        <w:pStyle w:val="T3Lit"/>
        <w:rPr/>
      </w:pPr>
      <w:r>
        <w:rPr>
          <w:i/>
          <w:iCs/>
        </w:rPr>
        <w:t>Het Orgel</w:t>
      </w:r>
      <w:r>
        <w:rPr/>
        <w:t>, 82/1 (1986), 8.</w:t>
      </w:r>
    </w:p>
    <w:p>
      <w:pPr>
        <w:pStyle w:val="T3Lit"/>
        <w:rPr/>
      </w:pPr>
      <w:r>
        <w:rPr>
          <w:i/>
          <w:iCs/>
        </w:rPr>
        <w:t>De Orgelkrant</w:t>
      </w:r>
      <w:r>
        <w:rPr/>
        <w:t>, 9/3 (2004), 12; 9/10 (2004), 2.</w:t>
      </w:r>
    </w:p>
    <w:p>
      <w:pPr>
        <w:pStyle w:val="T3Lit"/>
        <w:rPr/>
      </w:pPr>
      <w:r>
        <w:rPr/>
      </w:r>
    </w:p>
    <w:p>
      <w:pPr>
        <w:pStyle w:val="T3Lit"/>
        <w:rPr/>
      </w:pPr>
      <w:r>
        <w:rPr/>
        <w:t>Orgelnummer 1799</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Bishop &amp; Son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Hermon Chapel te Penrhiwceiber (Wales)</w:t>
      </w:r>
    </w:p>
    <w:p>
      <w:pPr>
        <w:pStyle w:val="T1"/>
        <w:jc w:val="start"/>
        <w:rPr>
          <w:lang w:val="nl-NL"/>
        </w:rPr>
      </w:pPr>
      <w:r>
        <w:rPr>
          <w:lang w:val="nl-NL"/>
        </w:rPr>
      </w:r>
    </w:p>
    <w:p>
      <w:pPr>
        <w:pStyle w:val="T1"/>
        <w:jc w:val="start"/>
        <w:rPr>
          <w:lang w:val="nl-NL"/>
        </w:rPr>
      </w:pPr>
      <w:r>
        <w:rPr>
          <w:lang w:val="nl-NL"/>
        </w:rPr>
        <w:t>Bishop &amp; Son 1985</w:t>
      </w:r>
    </w:p>
    <w:p>
      <w:pPr>
        <w:pStyle w:val="T1"/>
        <w:numPr>
          <w:ilvl w:val="0"/>
          <w:numId w:val="2"/>
        </w:numPr>
        <w:jc w:val="start"/>
        <w:rPr>
          <w:lang w:val="nl-NL"/>
        </w:rPr>
      </w:pPr>
      <w:r>
        <w:rPr>
          <w:lang w:val="nl-NL"/>
        </w:rPr>
        <w:t>orgel geplaatst te IJmuiden, Christelijke Gereformeerde Kerk</w:t>
      </w:r>
    </w:p>
    <w:p>
      <w:pPr>
        <w:pStyle w:val="T1"/>
        <w:numPr>
          <w:ilvl w:val="0"/>
          <w:numId w:val="2"/>
        </w:numPr>
        <w:jc w:val="start"/>
        <w:rPr>
          <w:lang w:val="nl-NL"/>
        </w:rPr>
      </w:pPr>
      <w:r>
        <w:rPr>
          <w:lang w:val="nl-NL"/>
        </w:rPr>
        <w:t>oorspronkelijke front aangevuld met zijwand aan linkerzijde</w:t>
      </w:r>
    </w:p>
    <w:p>
      <w:pPr>
        <w:pStyle w:val="T1"/>
        <w:numPr>
          <w:ilvl w:val="0"/>
          <w:numId w:val="2"/>
        </w:numPr>
        <w:jc w:val="start"/>
        <w:rPr>
          <w:lang w:val="en-GB"/>
        </w:rPr>
      </w:pPr>
      <w:r>
        <w:rPr>
          <w:lang w:val="en-GB"/>
        </w:rPr>
        <w:t>Great - Dulciana 8', + Twelfth 2 2/3'</w:t>
      </w:r>
    </w:p>
    <w:p>
      <w:pPr>
        <w:pStyle w:val="T1"/>
        <w:jc w:val="start"/>
        <w:rPr>
          <w:lang w:val="en-GB"/>
        </w:rPr>
      </w:pPr>
      <w:r>
        <w:rPr>
          <w:lang w:val="en-GB"/>
        </w:rPr>
      </w:r>
    </w:p>
    <w:p>
      <w:pPr>
        <w:pStyle w:val="T1"/>
        <w:jc w:val="start"/>
        <w:rPr>
          <w:lang w:val="nl-NL"/>
        </w:rPr>
      </w:pPr>
      <w:r>
        <w:rPr>
          <w:lang w:val="nl-NL"/>
        </w:rPr>
        <w:t>F.R. Feenstra 2004</w:t>
      </w:r>
    </w:p>
    <w:p>
      <w:pPr>
        <w:pStyle w:val="T1"/>
        <w:numPr>
          <w:ilvl w:val="0"/>
          <w:numId w:val="3"/>
        </w:numPr>
        <w:jc w:val="start"/>
        <w:rPr>
          <w:lang w:val="nl-NL"/>
        </w:rPr>
      </w:pPr>
      <w:r>
        <w:rPr>
          <w:lang w:val="nl-NL"/>
        </w:rPr>
        <w:t>orgel overgeplaatst naar Nieuwerkerk aan den IJssel</w:t>
      </w:r>
    </w:p>
    <w:p>
      <w:pPr>
        <w:pStyle w:val="T1"/>
        <w:numPr>
          <w:ilvl w:val="0"/>
          <w:numId w:val="3"/>
        </w:numPr>
        <w:jc w:val="start"/>
        <w:rPr>
          <w:lang w:val="nl-NL"/>
        </w:rPr>
      </w:pPr>
      <w:r>
        <w:rPr>
          <w:lang w:val="nl-NL"/>
        </w:rPr>
        <w:t>trigger Swell gewijzigd in balanstrede</w:t>
      </w:r>
    </w:p>
    <w:p>
      <w:pPr>
        <w:pStyle w:val="T1"/>
        <w:numPr>
          <w:ilvl w:val="0"/>
          <w:numId w:val="3"/>
        </w:numPr>
        <w:jc w:val="start"/>
        <w:rPr>
          <w:lang w:val="nl-NL"/>
        </w:rPr>
      </w:pPr>
      <w:r>
        <w:rPr>
          <w:lang w:val="nl-NL"/>
        </w:rPr>
        <w:t>herintonatie</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en-GB"/>
        </w:rPr>
      </w:pPr>
      <w:r>
        <w:rPr>
          <w:lang w:val="en-GB"/>
        </w:rPr>
        <w:t>Werkindeling</w:t>
      </w:r>
    </w:p>
    <w:p>
      <w:pPr>
        <w:pStyle w:val="T1"/>
        <w:jc w:val="start"/>
        <w:rPr>
          <w:lang w:val="en-GB"/>
        </w:rPr>
      </w:pPr>
      <w:r>
        <w:rPr>
          <w:lang w:val="en-GB"/>
        </w:rPr>
        <w:t>great organ, swell organ, pedals</w:t>
      </w:r>
    </w:p>
    <w:p>
      <w:pPr>
        <w:pStyle w:val="T1"/>
        <w:jc w:val="start"/>
        <w:rPr>
          <w:lang w:val="en-GB"/>
        </w:rPr>
      </w:pPr>
      <w:r>
        <w:rPr>
          <w:lang w:val="en-GB"/>
        </w:rPr>
      </w:r>
    </w:p>
    <w:p>
      <w:pPr>
        <w:pStyle w:val="T1"/>
        <w:jc w:val="start"/>
        <w:rPr/>
      </w:pPr>
      <w:r>
        <w:rPr/>
        <w:t>Dispositie</w:t>
      </w:r>
    </w:p>
    <w:tbl>
      <w:tblPr>
        <w:tblW w:w="6661" w:type="dxa"/>
        <w:jc w:val="start"/>
        <w:tblInd w:w="-70" w:type="dxa"/>
        <w:tblLayout w:type="fixed"/>
        <w:tblCellMar>
          <w:top w:w="0" w:type="dxa"/>
          <w:start w:w="70" w:type="dxa"/>
          <w:bottom w:w="0" w:type="dxa"/>
          <w:end w:w="70" w:type="dxa"/>
        </w:tblCellMar>
      </w:tblPr>
      <w:tblGrid>
        <w:gridCol w:w="1870"/>
        <w:gridCol w:w="720"/>
        <w:gridCol w:w="1620"/>
        <w:gridCol w:w="540"/>
        <w:gridCol w:w="1371"/>
        <w:gridCol w:w="540"/>
      </w:tblGrid>
      <w:tr>
        <w:trPr/>
        <w:tc>
          <w:tcPr>
            <w:tcW w:w="1870" w:type="dxa"/>
            <w:tcBorders/>
          </w:tcPr>
          <w:p>
            <w:pPr>
              <w:pStyle w:val="T4dispositie"/>
              <w:rPr>
                <w:i/>
                <w:i/>
                <w:iCs/>
                <w:lang w:val="en-GB"/>
              </w:rPr>
            </w:pPr>
            <w:r>
              <w:rPr>
                <w:i/>
                <w:iCs/>
                <w:lang w:val="en-GB"/>
              </w:rPr>
              <w:t>Great Organ(I)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Open Diapason</w:t>
            </w:r>
          </w:p>
          <w:p>
            <w:pPr>
              <w:pStyle w:val="T4dispositie"/>
              <w:rPr>
                <w:lang w:val="nl-NL"/>
              </w:rPr>
            </w:pPr>
            <w:r>
              <w:rPr>
                <w:lang w:val="nl-NL"/>
              </w:rPr>
              <w:t>Open Diapason</w:t>
            </w:r>
          </w:p>
          <w:p>
            <w:pPr>
              <w:pStyle w:val="T4dispositie"/>
              <w:rPr>
                <w:lang w:val="nl-NL"/>
              </w:rPr>
            </w:pPr>
            <w:r>
              <w:rPr>
                <w:lang w:val="nl-NL"/>
              </w:rPr>
              <w:t>Hohlflute</w:t>
            </w:r>
          </w:p>
          <w:p>
            <w:pPr>
              <w:pStyle w:val="T4dispositie"/>
              <w:rPr>
                <w:lang w:val="nl-NL"/>
              </w:rPr>
            </w:pPr>
            <w:r>
              <w:rPr>
                <w:lang w:val="nl-NL"/>
              </w:rPr>
              <w:t>Principal</w:t>
            </w:r>
          </w:p>
          <w:p>
            <w:pPr>
              <w:pStyle w:val="T4dispositie"/>
              <w:rPr>
                <w:lang w:val="nl-NL"/>
              </w:rPr>
            </w:pPr>
            <w:r>
              <w:rPr>
                <w:lang w:val="nl-NL"/>
              </w:rPr>
              <w:t>Twelfth</w:t>
            </w:r>
          </w:p>
          <w:p>
            <w:pPr>
              <w:pStyle w:val="T4dispositie"/>
              <w:rPr>
                <w:lang w:val="nl-NL"/>
              </w:rPr>
            </w:pPr>
            <w:r>
              <w:rPr>
                <w:lang w:val="nl-NL"/>
              </w:rPr>
              <w:t>Fifteenth</w:t>
            </w:r>
          </w:p>
          <w:p>
            <w:pPr>
              <w:pStyle w:val="T4dispositie"/>
              <w:rPr>
                <w:lang w:val="nl-NL"/>
              </w:rPr>
            </w:pPr>
            <w:r>
              <w:rPr>
                <w:lang w:val="nl-NL"/>
              </w:rPr>
              <w:t>Clarinet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8'</w:t>
            </w:r>
          </w:p>
        </w:tc>
        <w:tc>
          <w:tcPr>
            <w:tcW w:w="1620" w:type="dxa"/>
            <w:tcBorders/>
          </w:tcPr>
          <w:p>
            <w:pPr>
              <w:pStyle w:val="T4dispositie"/>
              <w:rPr>
                <w:i/>
                <w:i/>
                <w:iCs/>
                <w:lang w:val="nl-NL"/>
              </w:rPr>
            </w:pPr>
            <w:r>
              <w:rPr>
                <w:i/>
                <w:iCs/>
                <w:lang w:val="nl-NL"/>
              </w:rPr>
              <w:t>Swell Organ (II)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Double Diapason</w:t>
            </w:r>
          </w:p>
          <w:p>
            <w:pPr>
              <w:pStyle w:val="T4dispositie"/>
              <w:rPr>
                <w:lang w:val="nl-NL"/>
              </w:rPr>
            </w:pPr>
            <w:r>
              <w:rPr>
                <w:lang w:val="nl-NL"/>
              </w:rPr>
              <w:t>Open Diapason</w:t>
            </w:r>
          </w:p>
          <w:p>
            <w:pPr>
              <w:pStyle w:val="T4dispositie"/>
              <w:rPr>
                <w:lang w:val="nl-NL"/>
              </w:rPr>
            </w:pPr>
            <w:r>
              <w:rPr>
                <w:lang w:val="nl-NL"/>
              </w:rPr>
              <w:t>Stopped Diapason</w:t>
            </w:r>
          </w:p>
          <w:p>
            <w:pPr>
              <w:pStyle w:val="T4dispositie"/>
              <w:rPr>
                <w:lang w:val="nl-NL"/>
              </w:rPr>
            </w:pPr>
            <w:r>
              <w:rPr>
                <w:lang w:val="nl-NL"/>
              </w:rPr>
              <w:t>Gamba</w:t>
            </w:r>
          </w:p>
          <w:p>
            <w:pPr>
              <w:pStyle w:val="T4dispositie"/>
              <w:rPr>
                <w:lang w:val="nl-NL"/>
              </w:rPr>
            </w:pPr>
            <w:r>
              <w:rPr>
                <w:lang w:val="nl-NL"/>
              </w:rPr>
              <w:t>Voix Célèstes</w:t>
            </w:r>
          </w:p>
          <w:p>
            <w:pPr>
              <w:pStyle w:val="T4dispositie"/>
              <w:rPr>
                <w:lang w:val="nl-NL"/>
              </w:rPr>
            </w:pPr>
            <w:r>
              <w:rPr>
                <w:lang w:val="nl-NL"/>
              </w:rPr>
              <w:t>Principal</w:t>
            </w:r>
          </w:p>
          <w:p>
            <w:pPr>
              <w:pStyle w:val="T4dispositie"/>
              <w:rPr>
                <w:lang w:val="nl-NL"/>
              </w:rPr>
            </w:pPr>
            <w:r>
              <w:rPr>
                <w:lang w:val="nl-NL"/>
              </w:rPr>
              <w:t>Mixture</w:t>
            </w:r>
          </w:p>
          <w:p>
            <w:pPr>
              <w:pStyle w:val="T4dispositie"/>
              <w:rPr>
                <w:lang w:val="nl-NL"/>
              </w:rPr>
            </w:pPr>
            <w:r>
              <w:rPr>
                <w:lang w:val="nl-NL"/>
              </w:rPr>
              <w:t>Cornopean</w:t>
            </w:r>
          </w:p>
          <w:p>
            <w:pPr>
              <w:pStyle w:val="T4dispositie"/>
              <w:rPr>
                <w:lang w:val="nl-NL"/>
              </w:rPr>
            </w:pPr>
            <w:r>
              <w:rPr>
                <w:lang w:val="nl-NL"/>
              </w:rPr>
              <w:t>Oboe</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 r.</w:t>
            </w:r>
          </w:p>
          <w:p>
            <w:pPr>
              <w:pStyle w:val="T4dispositie"/>
              <w:rPr>
                <w:lang w:val="nl-NL"/>
              </w:rPr>
            </w:pPr>
            <w:r>
              <w:rPr>
                <w:lang w:val="nl-NL"/>
              </w:rPr>
              <w:t>8'</w:t>
            </w:r>
          </w:p>
          <w:p>
            <w:pPr>
              <w:pStyle w:val="T4dispositie"/>
              <w:rPr>
                <w:lang w:val="nl-NL"/>
              </w:rPr>
            </w:pPr>
            <w:r>
              <w:rPr>
                <w:lang w:val="nl-NL"/>
              </w:rPr>
              <w:t>8'</w:t>
            </w:r>
          </w:p>
        </w:tc>
        <w:tc>
          <w:tcPr>
            <w:tcW w:w="1371" w:type="dxa"/>
            <w:tcBorders/>
          </w:tcPr>
          <w:p>
            <w:pPr>
              <w:pStyle w:val="T4dispositie"/>
              <w:rPr>
                <w:i/>
                <w:i/>
                <w:iCs/>
                <w:lang w:val="nl-NL"/>
              </w:rPr>
            </w:pPr>
            <w:r>
              <w:rPr>
                <w:i/>
                <w:iCs/>
                <w:lang w:val="nl-NL"/>
              </w:rPr>
              <w:t>Pedals</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Sub-bass</w:t>
            </w:r>
          </w:p>
          <w:p>
            <w:pPr>
              <w:pStyle w:val="T4dispositie"/>
              <w:rPr>
                <w:lang w:val="nl-NL"/>
              </w:rPr>
            </w:pPr>
            <w:r>
              <w:rPr>
                <w:lang w:val="nl-NL"/>
              </w:rPr>
              <w:t>Bass Flute</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1"/>
        <w:rPr>
          <w:lang w:val="nl-NL"/>
        </w:rPr>
      </w:pPr>
      <w:r>
        <w:rPr>
          <w:lang w:val="nl-NL"/>
        </w:rPr>
        <w:t>Werktuiglijke registers</w:t>
      </w:r>
    </w:p>
    <w:p>
      <w:pPr>
        <w:pStyle w:val="T1"/>
        <w:rPr>
          <w:lang w:val="en-GB"/>
        </w:rPr>
      </w:pPr>
      <w:r>
        <w:rPr>
          <w:lang w:val="en-GB"/>
        </w:rPr>
        <w:t>koppelingen Swell to Great, Great to Pedals, Swell to Pedals</w:t>
      </w:r>
    </w:p>
    <w:p>
      <w:pPr>
        <w:pStyle w:val="T1"/>
        <w:rPr>
          <w:lang w:val="nl-NL"/>
        </w:rPr>
      </w:pPr>
      <w:r>
        <w:rPr>
          <w:lang w:val="nl-NL"/>
        </w:rPr>
        <w:t>vier combinatietreden</w:t>
      </w:r>
    </w:p>
    <w:p>
      <w:pPr>
        <w:pStyle w:val="T1"/>
        <w:rPr>
          <w:lang w:val="nl-NL"/>
        </w:rPr>
      </w:pPr>
      <w:r>
        <w:rPr>
          <w:lang w:val="nl-NL"/>
        </w:rPr>
        <w:t>trede Swell</w:t>
      </w:r>
    </w:p>
    <w:p>
      <w:pPr>
        <w:pStyle w:val="T1"/>
        <w:rPr>
          <w:lang w:val="nl-NL"/>
        </w:rPr>
      </w:pPr>
      <w:r>
        <w:rPr>
          <w:lang w:val="nl-NL"/>
        </w:rPr>
      </w:r>
    </w:p>
    <w:p>
      <w:pPr>
        <w:pStyle w:val="T1"/>
        <w:rPr>
          <w:lang w:val="nl-NL"/>
        </w:rPr>
      </w:pPr>
      <w:r>
        <w:rPr>
          <w:lang w:val="nl-NL"/>
        </w:rPr>
        <w:t>Samenstelling vulstem</w:t>
      </w:r>
    </w:p>
    <w:tbl>
      <w:tblPr>
        <w:tblW w:w="3043" w:type="dxa"/>
        <w:jc w:val="start"/>
        <w:tblInd w:w="-70" w:type="dxa"/>
        <w:tblLayout w:type="fixed"/>
        <w:tblCellMar>
          <w:top w:w="0" w:type="dxa"/>
          <w:start w:w="70" w:type="dxa"/>
          <w:bottom w:w="0" w:type="dxa"/>
          <w:end w:w="70" w:type="dxa"/>
        </w:tblCellMar>
      </w:tblPr>
      <w:tblGrid>
        <w:gridCol w:w="1585"/>
        <w:gridCol w:w="729"/>
        <w:gridCol w:w="729"/>
      </w:tblGrid>
      <w:tr>
        <w:trPr/>
        <w:tc>
          <w:tcPr>
            <w:tcW w:w="1585" w:type="dxa"/>
            <w:tcBorders/>
          </w:tcPr>
          <w:p>
            <w:pPr>
              <w:pStyle w:val="T1"/>
              <w:rPr>
                <w:lang w:val="nl-NL"/>
              </w:rPr>
            </w:pPr>
            <w:r>
              <w:rPr>
                <w:lang w:val="nl-NL"/>
              </w:rPr>
              <w:t>Mixture Swell</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vertAlign w:val="superscript"/>
                <w:lang w:val="nl-NL"/>
              </w:rPr>
            </w:pPr>
            <w:r>
              <w:rPr>
                <w:lang w:val="nl-NL"/>
              </w:rPr>
              <w:t>h</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447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pPr>
      <w:r>
        <w:rPr>
          <w:lang w:val="nl-NL"/>
        </w:rPr>
        <w:t>C-f</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twee schepbalgen en handpomp (ca 1865)</w:t>
      </w:r>
    </w:p>
    <w:p>
      <w:pPr>
        <w:pStyle w:val="T1"/>
        <w:rPr>
          <w:lang w:val="nl-NL"/>
        </w:rPr>
      </w:pPr>
      <w:r>
        <w:rPr>
          <w:lang w:val="nl-NL"/>
        </w:rPr>
        <w:t>Winddruk</w:t>
      </w:r>
    </w:p>
    <w:p>
      <w:pPr>
        <w:pStyle w:val="T1"/>
        <w:rPr>
          <w:lang w:val="nl-NL"/>
        </w:rPr>
      </w:pPr>
      <w:r>
        <w:rPr>
          <w:lang w:val="nl-NL"/>
        </w:rPr>
        <w:t>78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voorzijde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dit orgel, opus 1563 van Bishop &amp; Son, maakte men volgens opgave van Gerard Verloop gebruik van bestaande windladen voor Great en Swell, een bestaande balg en delen van een bestaande registertractuur. Al deze onderdelen dateren uit ca 1865, evenals een deel van het pijpwerk: de tweede Open Diapason 8' (vanaf c), Principal 4' (vanaf Gis) en Fifteenth 2' (Great); de Stopped Diapason 8' (vanaf c) en Cornopean 8' (Swell) alsmede Bourdon 16'/Flute Bass 8' (behalve C-G 16').</w:t>
      </w:r>
    </w:p>
    <w:p>
      <w:pPr>
        <w:pStyle w:val="T1"/>
        <w:jc w:val="start"/>
        <w:rPr>
          <w:lang w:val="nl-NL"/>
        </w:rPr>
      </w:pPr>
      <w:r>
        <w:rPr>
          <w:lang w:val="nl-NL"/>
        </w:rPr>
        <w:t>De klaviatuur bevindt zich in een nis onder het middenveld en kan met deurtjes worden afgesloten. De registertrekkers zijn aangebracht in verticale rijen aan weerszijden van de handklavieren: links Swell en Couplers, rechts Great en Pedals. De ondertoetsen van beide handklavieren hebben holrond overstekende frontons, het pedaalklavier is concaaf uitgevoerd. Op de klavierplank bevindt zich een firmanaamplaatje. De combinatietreden werken als volgt:</w:t>
      </w:r>
    </w:p>
    <w:p>
      <w:pPr>
        <w:pStyle w:val="T1"/>
        <w:jc w:val="start"/>
        <w:rPr>
          <w:lang w:val="en-GB"/>
        </w:rPr>
      </w:pPr>
      <w:r>
        <w:rPr>
          <w:lang w:val="en-GB"/>
        </w:rPr>
        <w:t>1. Swell Stopped + Open Diapason 8'; 2. Full Swell ( - Gamba 8', - Voix Celestes 8'); 3. Great Hohlflute 8'; 4. Full Great (- Open Diapason 8', - Clarinet 8')</w:t>
      </w:r>
    </w:p>
    <w:p>
      <w:pPr>
        <w:pStyle w:val="T1"/>
        <w:jc w:val="start"/>
        <w:rPr>
          <w:lang w:val="nl-NL"/>
        </w:rPr>
      </w:pPr>
      <w:r>
        <w:rPr>
          <w:lang w:val="nl-NL"/>
        </w:rPr>
        <w:t>De windvoorziening bevindt zich in de onderkas. De pompboom van de handbediening is in de orgelkas opgeslagen.</w:t>
      </w:r>
    </w:p>
    <w:p>
      <w:pPr>
        <w:pStyle w:val="T1"/>
        <w:jc w:val="start"/>
        <w:rPr/>
      </w:pPr>
      <w:r>
        <w:rPr>
          <w:lang w:val="nl-NL"/>
        </w:rPr>
        <w:t>Beide laden zijn ingedeeld met C-h in hele tonen aan weerszijden van buitenaf aflopend met de C-zijde links en c</w:t>
      </w:r>
      <w:r>
        <w:rPr>
          <w:vertAlign w:val="superscript"/>
          <w:lang w:val="nl-NL"/>
        </w:rPr>
        <w:t>1</w:t>
      </w:r>
      <w:r>
        <w:rPr>
          <w:lang w:val="nl-NL"/>
        </w:rPr>
        <w:t>-g</w:t>
      </w:r>
      <w:r>
        <w:rPr>
          <w:vertAlign w:val="superscript"/>
          <w:lang w:val="nl-NL"/>
        </w:rPr>
        <w:t>3</w:t>
      </w:r>
      <w:r>
        <w:rPr>
          <w:lang w:val="nl-NL"/>
        </w:rPr>
        <w:t xml:space="preserve"> chromatisch naar rechts aflopend daar tussenin. De pneumatische lade voor het Ped ligt langs de rechter zijwand en is gemaakt volgens een door Bischop uitgevonden systeem met bewegend buisvormig onderdeel dat in 1885 werd gepatenteerd.</w:t>
      </w:r>
    </w:p>
    <w:p>
      <w:pPr>
        <w:pStyle w:val="T1"/>
        <w:jc w:val="start"/>
        <w:rPr/>
      </w:pPr>
      <w:r>
        <w:rPr>
          <w:lang w:val="nl-NL"/>
        </w:rPr>
        <w:t>In de zijvelden van het front spreken C-Dis van de eerste Open Diapason 8' (middelste pijpen) en C-A van de tweede, in het middenveld E-h van de eerste Open Diapason 8'. Alle frontpijpen zijn van zink, evenals de achter de binnenste frontstijlen opgestelde binnenpijpen voor B-H van de tweede Open Diapason 8'. De eerste Open Diapason staat vanaf c</w:t>
      </w:r>
      <w:r>
        <w:rPr>
          <w:vertAlign w:val="superscript"/>
          <w:lang w:val="nl-NL"/>
        </w:rPr>
        <w:t>1</w:t>
      </w:r>
      <w:r>
        <w:rPr>
          <w:lang w:val="nl-NL"/>
        </w:rPr>
        <w:t xml:space="preserve"> op de lade, de tweede vanaf c. C-h van de Hohlflute 8' zijn van hout, gedekt, het vervolg is van metaal, open. C-G van de Principal 4' en c-h van de tweede Open Diapason 8' hebben aan expressions verwante stemsleuven. De Clarinet 8' staat op een kantsleep en begint op c; het groot octaaf is wel voorbereid. Het pijpwerk met metalen koppen en stevels en cilindrische bekers met stemringen op onderconus is mogelijk ouder dan 1895, fis</w:t>
      </w:r>
      <w:r>
        <w:rPr>
          <w:vertAlign w:val="superscript"/>
          <w:lang w:val="nl-NL"/>
        </w:rPr>
        <w:t>3</w:t>
      </w:r>
      <w:r>
        <w:rPr>
          <w:lang w:val="nl-NL"/>
        </w:rPr>
        <w:t>-g</w:t>
      </w:r>
      <w:r>
        <w:rPr>
          <w:vertAlign w:val="superscript"/>
          <w:lang w:val="nl-NL"/>
        </w:rPr>
        <w:t>3</w:t>
      </w:r>
      <w:r>
        <w:rPr>
          <w:lang w:val="nl-NL"/>
        </w:rPr>
        <w:t xml:space="preserve"> zijn labiaal.</w:t>
      </w:r>
    </w:p>
    <w:p>
      <w:pPr>
        <w:pStyle w:val="T1"/>
        <w:jc w:val="start"/>
        <w:rPr/>
      </w:pPr>
      <w:r>
        <w:rPr>
          <w:lang w:val="nl-NL"/>
        </w:rPr>
        <w:t>C-H van de Open Diapason 8' (Swell) zijn van hout, open, c-g</w:t>
      </w:r>
      <w:r>
        <w:rPr>
          <w:vertAlign w:val="superscript"/>
          <w:lang w:val="nl-NL"/>
        </w:rPr>
        <w:t>3</w:t>
      </w:r>
      <w:r>
        <w:rPr>
          <w:lang w:val="nl-NL"/>
        </w:rPr>
        <w:t xml:space="preserve"> zijn van metaal. Double Diapason 16' en Stopped Diapason 8' zijn geheel van hout, gedekt. C-H van de Gamba 8' zijn gecombineerd met de Stopped Diapason 8'; de Voix Célèste begint op c. Beide strijkers zijn van spotted metal en geheel voorzien van zijbaarden en stemringen, tot en met c</w:t>
      </w:r>
      <w:r>
        <w:rPr>
          <w:vertAlign w:val="superscript"/>
          <w:lang w:val="nl-NL"/>
        </w:rPr>
        <w:t>3</w:t>
      </w:r>
      <w:r>
        <w:rPr>
          <w:lang w:val="nl-NL"/>
        </w:rPr>
        <w:t xml:space="preserve"> aangebracht onder sleuven boven in de corpora. Van Cornopean 8' en Oboe 8' (metalen koppen en stevels) zijn cis</w:t>
      </w:r>
      <w:r>
        <w:rPr>
          <w:vertAlign w:val="superscript"/>
          <w:lang w:val="nl-NL"/>
        </w:rPr>
        <w:t>3</w:t>
      </w:r>
      <w:r>
        <w:rPr>
          <w:lang w:val="nl-NL"/>
        </w:rPr>
        <w:t>-g</w:t>
      </w:r>
      <w:r>
        <w:rPr>
          <w:vertAlign w:val="superscript"/>
          <w:lang w:val="nl-NL"/>
        </w:rPr>
        <w:t>3</w:t>
      </w:r>
      <w:r>
        <w:rPr>
          <w:lang w:val="nl-NL"/>
        </w:rPr>
        <w:t xml:space="preserve"> labiaal uitgevoerd. De Cornopean heeft trechtervormige bekers van halve lengte. C-H van de Oboe zijn cilindrisch op onderconus, c-c</w:t>
      </w:r>
      <w:r>
        <w:rPr>
          <w:vertAlign w:val="superscript"/>
          <w:lang w:val="nl-NL"/>
        </w:rPr>
        <w:t>3</w:t>
      </w:r>
      <w:r>
        <w:rPr>
          <w:lang w:val="nl-NL"/>
        </w:rPr>
        <w:t xml:space="preserve"> zijn halfgedekt met een samengestelde hobobekervorm met intonatieogen. De gecombineerde reeks voor Bourdon 16' en Bass Flute 8' (hout, gedekt) staat opgesteld in drie chromatische rijen langs de rechterzijwand.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2008-05-05T12:37:00Z</dcterms:created>
  <dc:creator>WS1</dc:creator>
  <dc:description/>
  <dc:language>en-US</dc:language>
  <cp:lastModifiedBy>NIvO</cp:lastModifiedBy>
  <cp:lastPrinted>2002-01-08T11:24:00Z</cp:lastPrinted>
  <dcterms:modified xsi:type="dcterms:W3CDTF">2008-07-21T10:24:00Z</dcterms:modified>
  <cp:revision>3</cp:revision>
  <dc:subject/>
  <dc:title>Vrouwenpolder/ca 1845</dc:title>
</cp:coreProperties>
</file>