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Oosterwijtwerd / 1895</w:t>
      </w:r>
    </w:p>
    <w:p>
      <w:pPr>
        <w:pStyle w:val="Heading2"/>
        <w:tabs>
          <w:tab w:val="clear" w:pos="708"/>
          <w:tab w:val="left" w:pos="0" w:leader="none"/>
        </w:tabs>
        <w:ind w:start="0" w:end="0" w:hanging="0"/>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Eenbeukige bakstenen kerk uit het begin van de 13e eeuw met halfrond gesloten koor. In de 16e en 17e eeuw gewijzigd en in 1925 en 1985 gerestaureerd. Dakruiter uit het midden van de 17e eeuw. Preekstoel en herenbanken uit 1666.</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pPr>
      <w:r>
        <w:rPr>
          <w:lang w:val="nl-NL"/>
        </w:rPr>
        <w:t xml:space="preserve">Een variant van het front van Rottum (1889, deel 1886-1894, 136-137), nu vertaald in de stijl van de neorenaissance, die onder invloed van de Duitse en Franse orgelbouw aan het einde van de 19e eeuw in Nederland opgeld deed. Wederom een centraal vlak pijpenveld, vlakke gedeelde tussenvelden en twee halfronde zijtorens. </w:t>
      </w:r>
      <w:r>
        <w:rPr/>
        <w:t xml:space="preserve">Het middenveld wordt nu aan de bovenzijde met een segmentboog afgesloten en bekroond door een entablement met een gebroken fronton, waarbij tussen beide frontondelen een vaasvormige knop is geplaatst. De onderste etages van de tussenvelden eindigen aan de bovenzijde in getoogde blinderingen, de bovenste in ojiefbogen, voorzien van een uitgespaarde driepas en bekroond door een vlamvormige knop. </w:t>
      </w:r>
      <w:r>
        <w:rPr>
          <w:lang w:val="nl-NL"/>
        </w:rPr>
        <w:t xml:space="preserve">Laatstgenoemde elementen zijn ontleend aan de neogotiek en hier dus niet geheel op hun plaats. Op de zijtorens achtzijdige koepels met eikelvormige knoppen. </w:t>
      </w:r>
      <w:r>
        <w:rPr/>
        <w:t xml:space="preserve">Decoratief snijwerk is verder beperkt gebleven tot randen van opengewerkte tondi bij wijze van bovenblinderingen in de zijtorens. </w:t>
      </w:r>
      <w:r>
        <w:rPr>
          <w:lang w:val="nl-NL"/>
        </w:rPr>
        <w:t>Het labiumverloop is in het middenveld V-vormig en in de tussenvelden steeds van binnen naar buiten oplopend. Consoles onder de torens ontbreken.</w:t>
      </w:r>
    </w:p>
    <w:p>
      <w:pPr>
        <w:pStyle w:val="T3Lit"/>
        <w:rPr>
          <w:lang w:val="nl-NL"/>
        </w:rPr>
      </w:pPr>
      <w:r>
        <w:rPr>
          <w:lang w:val="nl-NL"/>
        </w:rPr>
      </w:r>
    </w:p>
    <w:p>
      <w:pPr>
        <w:pStyle w:val="T3Lit"/>
        <w:rPr>
          <w:b/>
          <w:b/>
          <w:bCs/>
        </w:rPr>
      </w:pPr>
      <w:r>
        <w:rPr>
          <w:b/>
          <w:bCs/>
        </w:rPr>
        <w:t>Literatuur</w:t>
      </w:r>
    </w:p>
    <w:p>
      <w:pPr>
        <w:pStyle w:val="T3Lit"/>
        <w:rPr/>
      </w:pPr>
      <w:r>
        <w:rPr/>
        <w:t xml:space="preserve">A.J. Gierveld, </w:t>
      </w:r>
      <w:r>
        <w:rPr>
          <w:i/>
          <w:iCs/>
        </w:rPr>
        <w:t>Het Nederlandse huisorgel in de 17e en 18e eeuw</w:t>
      </w:r>
      <w:r>
        <w:rPr/>
        <w:t>. Utrecht, 1977, 235-236.</w:t>
      </w:r>
    </w:p>
    <w:p>
      <w:pPr>
        <w:pStyle w:val="T3Lit"/>
        <w:rPr/>
      </w:pPr>
      <w:r>
        <w:rPr>
          <w:i/>
          <w:iCs/>
        </w:rPr>
        <w:t>Het Groninger Orgelbezit van Adorp tot Zijldijk. 5 Fivelingo</w:t>
      </w:r>
      <w:r>
        <w:rPr/>
        <w:t>. Groningen, 1998, 124-125.</w:t>
      </w:r>
    </w:p>
    <w:p>
      <w:pPr>
        <w:pStyle w:val="T3Lit"/>
        <w:rPr/>
      </w:pPr>
      <w:r>
        <w:rPr>
          <w:i/>
          <w:iCs/>
        </w:rPr>
        <w:t>De Orgelkrant</w:t>
      </w:r>
      <w:r>
        <w:rPr/>
        <w:t>, 1/1 (1997), 6.</w:t>
      </w:r>
    </w:p>
    <w:p>
      <w:pPr>
        <w:pStyle w:val="T3Lit"/>
        <w:rPr/>
      </w:pPr>
      <w:r>
        <w:rPr>
          <w:lang w:val="nl-NL"/>
        </w:rPr>
        <w:t>‘</w:t>
      </w:r>
      <w:r>
        <w:rPr>
          <w:lang w:val="nl-NL"/>
        </w:rPr>
        <w:t xml:space="preserve">Het orgel van Oosterwijtwerd weer in gebruik genomen’. </w:t>
      </w:r>
      <w:r>
        <w:rPr>
          <w:i/>
          <w:iCs/>
        </w:rPr>
        <w:t>Groninger Kerken</w:t>
      </w:r>
      <w:r>
        <w:rPr/>
        <w:t>, 13/4 (1996), 126-127.</w:t>
      </w:r>
    </w:p>
    <w:p>
      <w:pPr>
        <w:pStyle w:val="T3Lit"/>
        <w:rPr/>
      </w:pPr>
      <w:r>
        <w:rPr/>
      </w:r>
    </w:p>
    <w:p>
      <w:pPr>
        <w:pStyle w:val="T3Lit"/>
        <w:rPr>
          <w:b/>
          <w:b/>
          <w:bCs/>
        </w:rPr>
      </w:pPr>
      <w:r>
        <w:rPr>
          <w:b/>
          <w:bCs/>
        </w:rPr>
        <w:t>Niet gepubliceerde bronnen</w:t>
      </w:r>
    </w:p>
    <w:p>
      <w:pPr>
        <w:pStyle w:val="T3Lit"/>
        <w:rPr>
          <w:szCs w:val="24"/>
        </w:rPr>
      </w:pPr>
      <w:r>
        <w:rPr>
          <w:szCs w:val="24"/>
        </w:rPr>
        <w:t>Archief A.H. de Graaf.</w:t>
      </w:r>
    </w:p>
    <w:p>
      <w:pPr>
        <w:pStyle w:val="T3Lit"/>
        <w:rPr>
          <w:szCs w:val="24"/>
        </w:rPr>
      </w:pPr>
      <w:r>
        <w:rPr>
          <w:szCs w:val="24"/>
        </w:rPr>
        <w:t>SKKN, dossier Oosterwijtwerd NHK, inventarisrapport 1998.</w:t>
      </w:r>
    </w:p>
    <w:p>
      <w:pPr>
        <w:pStyle w:val="T3Lit"/>
        <w:rPr>
          <w:szCs w:val="24"/>
        </w:rPr>
      </w:pPr>
      <w:r>
        <w:rPr>
          <w:szCs w:val="24"/>
        </w:rPr>
      </w:r>
    </w:p>
    <w:p>
      <w:pPr>
        <w:pStyle w:val="T3Lit"/>
        <w:rPr/>
      </w:pPr>
      <w:r>
        <w:rPr/>
        <w:t>Orgelnummer 1153</w:t>
      </w:r>
    </w:p>
    <w:p>
      <w:pPr>
        <w:pStyle w:val="T3Lit"/>
        <w:rPr/>
      </w:pPr>
      <w:r>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Mense Ruiter 1950</w:t>
      </w:r>
    </w:p>
    <w:p>
      <w:pPr>
        <w:pStyle w:val="T1"/>
        <w:numPr>
          <w:ilvl w:val="0"/>
          <w:numId w:val="3"/>
        </w:numPr>
        <w:jc w:val="start"/>
        <w:rPr>
          <w:lang w:val="nl-NL"/>
        </w:rPr>
      </w:pPr>
      <w:r>
        <w:rPr>
          <w:lang w:val="nl-NL"/>
        </w:rPr>
        <w:t>orgel hersteld na waterschade</w:t>
      </w:r>
    </w:p>
    <w:p>
      <w:pPr>
        <w:pStyle w:val="T1"/>
        <w:numPr>
          <w:ilvl w:val="0"/>
          <w:numId w:val="3"/>
        </w:numPr>
        <w:jc w:val="start"/>
        <w:rPr>
          <w:lang w:val="nl-NL"/>
        </w:rPr>
      </w:pPr>
      <w:r>
        <w:rPr>
          <w:lang w:val="nl-NL"/>
        </w:rPr>
        <w:t>toonhoogte gewijzigd</w:t>
      </w:r>
    </w:p>
    <w:p>
      <w:pPr>
        <w:pStyle w:val="T1"/>
        <w:numPr>
          <w:ilvl w:val="0"/>
          <w:numId w:val="3"/>
        </w:numPr>
        <w:jc w:val="start"/>
        <w:rPr>
          <w:lang w:val="fr-FR"/>
        </w:rPr>
      </w:pPr>
      <w:r>
        <w:rPr>
          <w:lang w:val="fr-FR"/>
        </w:rPr>
        <w:t>- Bourdon D 16', + Quint D 2 2/3'</w:t>
      </w:r>
    </w:p>
    <w:p>
      <w:pPr>
        <w:pStyle w:val="T1"/>
        <w:jc w:val="start"/>
        <w:rPr>
          <w:lang w:val="fr-FR"/>
        </w:rPr>
      </w:pPr>
      <w:r>
        <w:rPr>
          <w:lang w:val="fr-FR"/>
        </w:rPr>
      </w:r>
    </w:p>
    <w:p>
      <w:pPr>
        <w:pStyle w:val="T1"/>
        <w:jc w:val="start"/>
        <w:rPr>
          <w:lang w:val="nl-NL"/>
        </w:rPr>
      </w:pPr>
      <w:r>
        <w:rPr>
          <w:lang w:val="nl-NL"/>
        </w:rPr>
        <w:t>Mense Ruiter, onbekend moment</w:t>
      </w:r>
    </w:p>
    <w:p>
      <w:pPr>
        <w:pStyle w:val="T1"/>
        <w:numPr>
          <w:ilvl w:val="0"/>
          <w:numId w:val="2"/>
        </w:numPr>
        <w:jc w:val="start"/>
        <w:rPr>
          <w:lang w:val="nl-NL"/>
        </w:rPr>
      </w:pPr>
      <w:r>
        <w:rPr>
          <w:lang w:val="nl-NL"/>
        </w:rPr>
        <w:t>Quint D 2 2/3' $ Sesquialter D 2 st.</w:t>
      </w:r>
    </w:p>
    <w:p>
      <w:pPr>
        <w:pStyle w:val="T1"/>
        <w:jc w:val="start"/>
        <w:rPr>
          <w:lang w:val="nl-NL"/>
        </w:rPr>
      </w:pPr>
      <w:r>
        <w:rPr>
          <w:lang w:val="nl-NL"/>
        </w:rPr>
      </w:r>
    </w:p>
    <w:p>
      <w:pPr>
        <w:pStyle w:val="T1"/>
        <w:jc w:val="start"/>
        <w:rPr>
          <w:lang w:val="nl-NL"/>
        </w:rPr>
      </w:pPr>
      <w:r>
        <w:rPr>
          <w:lang w:val="nl-NL"/>
        </w:rPr>
        <w:t>A.H. de Graaf 1996</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630"/>
        <w:gridCol w:w="587"/>
      </w:tblGrid>
      <w:tr>
        <w:trPr/>
        <w:tc>
          <w:tcPr>
            <w:tcW w:w="1630"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 D</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 B/D</w:t>
            </w:r>
          </w:p>
          <w:p>
            <w:pPr>
              <w:pStyle w:val="T4dispositie"/>
              <w:jc w:val="start"/>
              <w:rPr>
                <w:lang w:val="nl-NL"/>
              </w:rPr>
            </w:pPr>
            <w:r>
              <w:rPr>
                <w:lang w:val="nl-NL"/>
              </w:rPr>
              <w:t>Sesquialter D</w:t>
            </w:r>
          </w:p>
        </w:tc>
        <w:tc>
          <w:tcPr>
            <w:tcW w:w="58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tc>
      </w:tr>
    </w:tbl>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Sesquialter   </w:t>
      </w:r>
      <w:r>
        <w:rPr>
          <w:sz w:val="20"/>
        </w:rPr>
        <w:t>c</w:t>
      </w:r>
      <w:r>
        <w:rPr>
          <w:sz w:val="20"/>
          <w:szCs w:val="24"/>
          <w:vertAlign w:val="superscript"/>
        </w:rPr>
        <w:t>1</w:t>
      </w:r>
      <w:r>
        <w:rPr>
          <w:sz w:val="20"/>
        </w:rPr>
        <w:t xml:space="preserve">   2 2/3 - 1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C-c</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(1895)</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rPr>
      </w:pPr>
      <w:r>
        <w:rPr>
          <w:i/>
          <w:iCs/>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 xml:space="preserve">Het orgel was oorspronkelijk een kabinetorgel van Christian Müller uit 1741. Het instrument is in 1845 door H.E. Freytag in Oosterwijtwerd geplaatst en van een aangehangen pedaal voorzien. Mogelijk is het instrument destijds gekocht van een particulier in Rasquert. Doornbos verbouwde het orgel in 1895. Hij voorzag het instrument van een nieuwe (mogelijk toegeleverde) kas, nieuwe mechanieken en een nieuwe windvoorziening en plaatste een aantal andere registers. </w:t>
      </w:r>
    </w:p>
    <w:p>
      <w:pPr>
        <w:pStyle w:val="T1"/>
        <w:jc w:val="start"/>
        <w:rPr>
          <w:lang w:val="nl-NL"/>
        </w:rPr>
      </w:pPr>
      <w:r>
        <w:rPr>
          <w:lang w:val="nl-NL"/>
        </w:rPr>
        <w:t>De magazijnbalg ligt in de onderkas en heeft een inliggende vouw en twee schepbalgen bediend met een handpomp (balk).</w:t>
      </w:r>
    </w:p>
    <w:p>
      <w:pPr>
        <w:pStyle w:val="T1"/>
        <w:jc w:val="start"/>
        <w:rPr>
          <w:lang w:val="nl-NL"/>
        </w:rPr>
      </w:pPr>
      <w:r>
        <w:rPr>
          <w:lang w:val="nl-NL"/>
        </w:rPr>
        <w:t>De klaviatuur is nog van de hand van Müller. De registertrekkers (1895) zijn in een horizontale rij boven de lessenaarbak aangebracht en hebben porseleinen registerplaatjes. Het pedaalklavier is in 1845 geplaatst door H.E. Freytag.</w:t>
      </w:r>
    </w:p>
    <w:p>
      <w:pPr>
        <w:pStyle w:val="T1"/>
        <w:jc w:val="start"/>
        <w:rPr/>
      </w:pPr>
      <w:r>
        <w:rPr>
          <w:lang w:val="nl-NL"/>
        </w:rPr>
        <w:t>De windlade van Müller is als volgt ingedeeld: Ais, Fis, D, C. E, Gis, c, d-c</w:t>
      </w:r>
      <w:r>
        <w:rPr>
          <w:vertAlign w:val="superscript"/>
          <w:lang w:val="nl-NL"/>
        </w:rPr>
        <w:t>3</w:t>
      </w:r>
      <w:r>
        <w:rPr>
          <w:lang w:val="nl-NL"/>
        </w:rPr>
        <w:t>, cis, A, F, Cis, Dis, G, H. De slepen worden sinds 1895 nog alleen aan de klavierkant uitgetrokken. De lade heeft twee inliggende voorslagen, elk vastgezet met twee messing strips.</w:t>
      </w:r>
    </w:p>
    <w:p>
      <w:pPr>
        <w:pStyle w:val="T1"/>
        <w:jc w:val="start"/>
        <w:rPr/>
      </w:pPr>
      <w:r>
        <w:rPr>
          <w:lang w:val="nl-NL"/>
        </w:rPr>
        <w:t>Uit 1741 dateren de registers Prestant D 8' (c</w:t>
      </w:r>
      <w:r>
        <w:rPr>
          <w:vertAlign w:val="superscript"/>
          <w:lang w:val="nl-NL"/>
        </w:rPr>
        <w:t>1</w:t>
      </w:r>
      <w:r>
        <w:rPr>
          <w:lang w:val="nl-NL"/>
        </w:rPr>
        <w:t>-c</w:t>
      </w:r>
      <w:r>
        <w:rPr>
          <w:vertAlign w:val="superscript"/>
          <w:lang w:val="nl-NL"/>
        </w:rPr>
        <w:t>2</w:t>
      </w:r>
      <w:r>
        <w:rPr>
          <w:lang w:val="nl-NL"/>
        </w:rPr>
        <w:t xml:space="preserve"> met stemkrullen), Holpijp 8' (C-h</w:t>
      </w:r>
      <w:r>
        <w:rPr>
          <w:szCs w:val="24"/>
          <w:vertAlign w:val="superscript"/>
          <w:lang w:val="nl-NL"/>
        </w:rPr>
        <w:t>1</w:t>
      </w:r>
      <w:r>
        <w:rPr>
          <w:lang w:val="nl-NL"/>
        </w:rPr>
        <w:t xml:space="preserve"> eiken, vervolg metaal) Roerfluit 4' (C-fis</w:t>
      </w:r>
      <w:r>
        <w:rPr>
          <w:vertAlign w:val="superscript"/>
          <w:lang w:val="nl-NL"/>
        </w:rPr>
        <w:t>1</w:t>
      </w:r>
      <w:r>
        <w:rPr>
          <w:lang w:val="nl-NL"/>
        </w:rPr>
        <w:t xml:space="preserve"> met roeren vervolg flespijpjes) en Octaaf B/D 2' (C-h met stemkrullen). De Prestant 4' (1895) staat van C-gis</w:t>
      </w:r>
      <w:r>
        <w:rPr>
          <w:vertAlign w:val="superscript"/>
          <w:lang w:val="nl-NL"/>
        </w:rPr>
        <w:t>1</w:t>
      </w:r>
      <w:r>
        <w:rPr>
          <w:lang w:val="nl-NL"/>
        </w:rPr>
        <w:t xml:space="preserve"> in het front. De Viola di Gamba 8' is van C-cis gecombineerd met de Holpijp, het vervolg dateert uit 1895 (metaal met expressions). Van de Sesquialter heeft het 2 2/3-voets koor stemkrullen (alleen de kleinste zeven zijn op lengte), het 1 3/5-voets koor is geheel op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Standaardalinealettertype">
    <w:name w:val="Standaardalinea-lettertype"/>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2008-05-05T12:39:00Z</dcterms:created>
  <dc:creator>WS1</dc:creator>
  <dc:description/>
  <dc:language>en-US</dc:language>
  <cp:lastModifiedBy>NIvO</cp:lastModifiedBy>
  <cp:lastPrinted>2113-01-01T00:00:00Z</cp:lastPrinted>
  <dcterms:modified xsi:type="dcterms:W3CDTF">2008-06-24T12:18:00Z</dcterms:modified>
  <cp:revision>3</cp:revision>
  <dc:subject/>
  <dc:title>Wirdum / 1879</dc:title>
</cp:coreProperties>
</file>