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Slochteren / 1895</w:t>
      </w:r>
    </w:p>
    <w:p>
      <w:pPr>
        <w:pStyle w:val="Heading2"/>
        <w:tabs>
          <w:tab w:val="clear" w:pos="708"/>
          <w:tab w:val="left" w:pos="0" w:leader="none"/>
        </w:tabs>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Rechtgesloten zaalkerk met schilddak en vrijstaande toren met zadeldak tussen puntgevels. Het gebouw is het oorspronkelijke transept van een kruiskerk uit de tweede helft van de 13e eeuw. Na een brand in 1881 hersteld naar de plannen van W. van der Heide. In 1986-1988 gerestaureerd. Preekstoel uit de 19e eeuw en enkele rouwborden uit de 18e eeuw.</w:t>
      </w:r>
    </w:p>
    <w:p>
      <w:pPr>
        <w:pStyle w:val="T1"/>
        <w:jc w:val="start"/>
        <w:rPr>
          <w:i/>
          <w:i/>
          <w:iCs/>
          <w:lang w:val="nl-NL"/>
        </w:rPr>
      </w:pPr>
      <w:r>
        <w:rPr>
          <w:i/>
          <w:iCs/>
          <w:lang w:val="nl-NL"/>
        </w:rPr>
      </w:r>
    </w:p>
    <w:p>
      <w:pPr>
        <w:pStyle w:val="T1"/>
        <w:jc w:val="start"/>
        <w:rPr>
          <w:lang w:val="nl-NL"/>
        </w:rPr>
      </w:pPr>
      <w:r>
        <w:rPr>
          <w:lang w:val="nl-NL"/>
        </w:rPr>
        <w:t>Kas: 1895</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Bij de onderhandelingen over de bouw van een nieuw orgel voor de Lutherse Kerk te Groningen in 1895 verwees Van Oeckelen naar het orgel in Slochteren, waarvan een foto (!) beschikbaar was. Dit maakt het niet aannemelijk dat de Van Oeckelens het front te Slochteren niet zelf vervaardigd hebben, zoals wel wordt verondersteld. Een andere hypothese, dat in Slochteren gebruik gemaakt werd van een 18e-eeuws front, kan hierdoor, en door het toegepaste hout, eveneens worden weerlegd. Feit is wel dat het front niet overal goed aansluit bij de rest van de orgelkas. Dat is echter verklaarbaar uit de gewoonte van de Van Oeckelens het orgel in de werkplaats zonder front op te bouwen. De opdrachtgever kon vervolgens kiezen uit verschillende frontontwerpen. Waarschijnlijk is voor het Slochterse orgel een apart frontontwerp getekend, qua volume aanzienlijk royaler dan orgelbouwtechnisch noodzakelijk. De bouw van het front vereiste vermoedelijk vervolgens enige ad-hoc-aanpassingen van het verder al gereedstaande orgel.</w:t>
      </w:r>
    </w:p>
    <w:p>
      <w:pPr>
        <w:pStyle w:val="T2Kunst"/>
        <w:jc w:val="start"/>
        <w:rPr>
          <w:lang w:val="nl-NL"/>
        </w:rPr>
      </w:pPr>
      <w:r>
        <w:rPr>
          <w:lang w:val="nl-NL"/>
        </w:rPr>
        <w:t>Het front te Slochteren, en in het kielzog daarvan ook dat van de Lutherse Kerk te Groningen (1896), toont qua vormgeving diverse nieuwe elementen die met name nog nauwer aansluiten bij 18e-eeuwse voorbeelden dan voorheen. Het front te Slochteren is negenledig en suggereert een orgel met hoofdwerk, bovenwerk en vrij pedaal. Echter, achter dit front staat een eenmanuaals orgel met aangehangen pedaal.</w:t>
      </w:r>
    </w:p>
    <w:p>
      <w:pPr>
        <w:pStyle w:val="T2Kunst"/>
        <w:jc w:val="start"/>
        <w:rPr>
          <w:lang w:val="nl-NL"/>
        </w:rPr>
      </w:pPr>
      <w:r>
        <w:rPr>
          <w:lang w:val="nl-NL"/>
        </w:rPr>
        <w:t>De afwisseling van geronde en spitse torens, waarvoor mogelijk orgelfronten van A.A. Hinsz een inspiratiebron waren, is niet ongewoon in het oeuvre van Petrus van Oeckelen en zijn zonen, zie bijvoorbeeld de orgels in Breede (1849, deel 1840-1849, 366-368); Saaxumhuizen (1851) en Usquert (1852, deel 1850-1858 99-101 en 151-152); Houten (1878, deel 1872-1878, 371-373); Wirdum (1879, deel 1878-1886, 107-108) en Breda (Lutherse Kerk, 1889, deel 1886-1894, 119-121). Maar het meest beeldbepalende verschil is de horizontale scheidingslijst tussen het onderfront en het bovenfront. Dat element vindt zonder twijfel zijn oorsprong in het frontontwerp dat zij hebben gerealiseerd in de Remonstrantse Kerk te Groningen (1885; front in 1967 gesloopt), de Hervormde Kerk te Olst (1888) en de Lutherse Kerk te Delft (1889, deel 1886-1894 99-101 en 122-124).</w:t>
      </w:r>
    </w:p>
    <w:p>
      <w:pPr>
        <w:pStyle w:val="T2Kunst"/>
        <w:jc w:val="start"/>
        <w:rPr>
          <w:lang w:val="nl-NL"/>
        </w:rPr>
      </w:pPr>
      <w:r>
        <w:rPr>
          <w:lang w:val="nl-NL"/>
        </w:rPr>
        <w:t>Die visuele scheiding van hoofd- en bovenwerkfront is bij het orgel te Slochteren minder uitgesproken. Het brede fries tussen onder- en bovenfront van het 'trio' Groningen-Olst-Delft is hier vervallen. De scheidingslijst volgt het gewelfde vijfledige grondplan van het onderfront, en door de gedeelde, geronde middentoren en de beide, eveneens gedeelde, spitstorens is een duidelijke aansluiting tussen onder- en bovenfront verkregen, hetgeen het historiserende karakter van dit ontwerp nog verder accentueert. Typisch voor het huis Van Oeckelen zijn daarentegen de vlakke pijpvelden met ieder twee pijpen, die de zijtorens met de middenpartij van het front verbinden.</w:t>
      </w:r>
    </w:p>
    <w:p>
      <w:pPr>
        <w:pStyle w:val="T2Kunst"/>
        <w:jc w:val="start"/>
        <w:rPr>
          <w:lang w:val="nl-NL"/>
        </w:rPr>
      </w:pPr>
      <w:r>
        <w:rPr>
          <w:lang w:val="nl-NL"/>
        </w:rPr>
        <w:t>Ook de ornamentiek is eigentijds. De bekroningen behoren tot het standaardrepertoire van de gebroeders Van Oeckelen en ook het blinderingssnijwerk is typerend voor deze orgelmakers, zij het dat dit in Slochteren minder verfijnd is dan gebruikelijk. De uitvoering van de vleugelstukken (aan het bovenfront en aan de zijtorens) is nog grover. Bovendien zijn ze bevestigd op dichte panelen, iets dat verder uitsluitend in het werk van hun vader Petrus van Oeckelen valt aan te treffen, onder meer bij het 'duo' Saaxumhuizen-Usquert en bij verschillende orgels uit de periode 1862-1873.</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Het Groninger Orgelbezit van Adorp tot Zijldijk. 5 Fivelingo</w:t>
      </w:r>
      <w:r>
        <w:rPr>
          <w:lang w:val="nl-NL"/>
        </w:rPr>
        <w:t>. Groningen, 1998, 138-139.</w:t>
      </w:r>
    </w:p>
    <w:p>
      <w:pPr>
        <w:pStyle w:val="T3Lit"/>
        <w:jc w:val="start"/>
        <w:rPr/>
      </w:pPr>
      <w:r>
        <w:rPr>
          <w:i/>
          <w:iCs/>
          <w:lang w:val="nl-NL"/>
        </w:rPr>
        <w:t>Kerkelijke Courant</w:t>
      </w:r>
      <w:r>
        <w:rPr>
          <w:lang w:val="nl-NL"/>
        </w:rPr>
        <w:t>, 49/38 (1895).</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pPr>
      <w:r>
        <w:rPr>
          <w:lang w:val="nl-NL"/>
        </w:rPr>
        <w:t xml:space="preserve">Jan Jongepier, </w:t>
      </w:r>
      <w:r>
        <w:rPr>
          <w:i/>
          <w:iCs/>
          <w:lang w:val="nl-NL"/>
        </w:rPr>
        <w:t>Rapport over het orgel in de Hervormde Kerk te Slochteren</w:t>
      </w:r>
      <w:r>
        <w:rPr>
          <w:lang w:val="nl-NL"/>
        </w:rPr>
        <w:t>. Leeuwarden, 1994.</w:t>
      </w:r>
    </w:p>
    <w:p>
      <w:pPr>
        <w:pStyle w:val="T3Lit"/>
        <w:jc w:val="start"/>
        <w:rPr>
          <w:lang w:val="nl-NL"/>
        </w:rPr>
      </w:pPr>
      <w:r>
        <w:rPr>
          <w:lang w:val="nl-NL"/>
        </w:rPr>
        <w:t>Orgelarchief Klaas Bolt</w:t>
      </w:r>
    </w:p>
    <w:p>
      <w:pPr>
        <w:pStyle w:val="T3Lit"/>
        <w:jc w:val="start"/>
        <w:rPr>
          <w:lang w:val="nl-NL"/>
        </w:rPr>
      </w:pPr>
      <w:r>
        <w:rPr>
          <w:lang w:val="nl-NL"/>
        </w:rPr>
        <w:t>Orgelarchief Peter van Dijk.</w:t>
      </w:r>
    </w:p>
    <w:p>
      <w:pPr>
        <w:pStyle w:val="T3Lit"/>
        <w:jc w:val="start"/>
        <w:rPr>
          <w:lang w:val="nl-NL"/>
        </w:rPr>
      </w:pPr>
      <w:r>
        <w:rPr>
          <w:lang w:val="nl-NL"/>
        </w:rPr>
      </w:r>
    </w:p>
    <w:p>
      <w:pPr>
        <w:pStyle w:val="T3Lit"/>
        <w:jc w:val="start"/>
        <w:rPr>
          <w:lang w:val="nl-NL"/>
        </w:rPr>
      </w:pPr>
      <w:r>
        <w:rPr>
          <w:lang w:val="nl-NL"/>
        </w:rPr>
        <w:t>Monumentnummer 33805</w:t>
      </w:r>
    </w:p>
    <w:p>
      <w:pPr>
        <w:pStyle w:val="T3Lit"/>
        <w:jc w:val="start"/>
        <w:rPr>
          <w:lang w:val="nl-NL"/>
        </w:rPr>
      </w:pPr>
      <w:r>
        <w:rPr>
          <w:lang w:val="nl-NL"/>
        </w:rPr>
        <w:t>Orgelnummer 1368</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1895</w:t>
      </w:r>
    </w:p>
    <w:p>
      <w:pPr>
        <w:pStyle w:val="T1"/>
        <w:jc w:val="start"/>
        <w:rPr>
          <w:lang w:val="nl-NL"/>
        </w:rPr>
      </w:pPr>
      <w:r>
        <w:rPr>
          <w:lang w:val="nl-NL"/>
        </w:rPr>
      </w:r>
    </w:p>
    <w:p>
      <w:pPr>
        <w:pStyle w:val="T1"/>
        <w:jc w:val="start"/>
        <w:rPr>
          <w:lang w:val="nl-NL"/>
        </w:rPr>
      </w:pPr>
      <w:r>
        <w:rPr>
          <w:lang w:val="nl-NL"/>
        </w:rPr>
        <w:t>1908</w:t>
      </w:r>
    </w:p>
    <w:p>
      <w:pPr>
        <w:pStyle w:val="T1"/>
        <w:numPr>
          <w:ilvl w:val="0"/>
          <w:numId w:val="2"/>
        </w:numPr>
        <w:jc w:val="start"/>
        <w:rPr>
          <w:lang w:val="nl-NL"/>
        </w:rPr>
      </w:pPr>
      <w:r>
        <w:rPr>
          <w:lang w:val="nl-NL"/>
        </w:rPr>
        <w:t>orgel hersteld</w:t>
      </w:r>
    </w:p>
    <w:p>
      <w:pPr>
        <w:pStyle w:val="T1"/>
        <w:jc w:val="start"/>
        <w:rPr>
          <w:lang w:val="nl-NL"/>
        </w:rPr>
      </w:pPr>
      <w:r>
        <w:rPr>
          <w:lang w:val="nl-NL"/>
        </w:rPr>
      </w:r>
    </w:p>
    <w:p>
      <w:pPr>
        <w:pStyle w:val="T1"/>
        <w:jc w:val="start"/>
        <w:rPr>
          <w:lang w:val="nl-NL"/>
        </w:rPr>
      </w:pPr>
      <w:r>
        <w:rPr>
          <w:lang w:val="nl-NL"/>
        </w:rPr>
        <w:t>Holtman &amp; Leemhuis 1936</w:t>
      </w:r>
    </w:p>
    <w:p>
      <w:pPr>
        <w:pStyle w:val="T1"/>
        <w:numPr>
          <w:ilvl w:val="0"/>
          <w:numId w:val="3"/>
        </w:numPr>
        <w:jc w:val="start"/>
        <w:rPr>
          <w:lang w:val="nl-NL"/>
        </w:rPr>
      </w:pPr>
      <w:r>
        <w:rPr>
          <w:lang w:val="nl-NL"/>
        </w:rPr>
        <w:t>schoonmaak en herstel</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3"/>
        </w:numPr>
        <w:jc w:val="start"/>
        <w:rPr>
          <w:lang w:val="nl-NL"/>
        </w:rPr>
      </w:pPr>
      <w:r>
        <w:rPr>
          <w:lang w:val="nl-NL"/>
        </w:rPr>
        <w:t>pneumatische tremulant aangebracht</w:t>
      </w:r>
    </w:p>
    <w:p>
      <w:pPr>
        <w:pStyle w:val="T1"/>
        <w:jc w:val="start"/>
        <w:rPr>
          <w:lang w:val="nl-NL"/>
        </w:rPr>
      </w:pPr>
      <w:r>
        <w:rPr>
          <w:lang w:val="nl-NL"/>
        </w:rPr>
      </w:r>
    </w:p>
    <w:p>
      <w:pPr>
        <w:pStyle w:val="T1"/>
        <w:jc w:val="start"/>
        <w:rPr>
          <w:lang w:val="nl-NL"/>
        </w:rPr>
      </w:pPr>
      <w:r>
        <w:rPr>
          <w:lang w:val="nl-NL"/>
        </w:rPr>
        <w:t>Mense Ruiter Orgelmakers 1993</w:t>
      </w:r>
    </w:p>
    <w:p>
      <w:pPr>
        <w:pStyle w:val="T1"/>
        <w:numPr>
          <w:ilvl w:val="0"/>
          <w:numId w:val="3"/>
        </w:numPr>
        <w:jc w:val="start"/>
        <w:rPr>
          <w:lang w:val="nl-NL"/>
        </w:rPr>
      </w:pPr>
      <w:r>
        <w:rPr>
          <w:lang w:val="nl-NL"/>
        </w:rPr>
        <w:t>schoonmaak na kerkrestauratie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80" w:type="dxa"/>
        <w:jc w:val="start"/>
        <w:tblInd w:w="0" w:type="dxa"/>
        <w:tblLayout w:type="fixed"/>
        <w:tblCellMar>
          <w:top w:w="0" w:type="dxa"/>
          <w:start w:w="70" w:type="dxa"/>
          <w:bottom w:w="0" w:type="dxa"/>
          <w:end w:w="70" w:type="dxa"/>
        </w:tblCellMar>
      </w:tblPr>
      <w:tblGrid>
        <w:gridCol w:w="1737"/>
        <w:gridCol w:w="743"/>
      </w:tblGrid>
      <w:tr>
        <w:trPr/>
        <w:tc>
          <w:tcPr>
            <w:tcW w:w="1737" w:type="dxa"/>
            <w:tcBorders/>
          </w:tcPr>
          <w:p>
            <w:pPr>
              <w:pStyle w:val="T4dispositie"/>
              <w:snapToGrid w:val="false"/>
              <w:jc w:val="start"/>
              <w:rPr>
                <w:i/>
                <w:i/>
                <w:iCs/>
                <w:lang w:val="nl-NL"/>
              </w:rPr>
            </w:pPr>
            <w:r>
              <w:rPr>
                <w:i/>
                <w:iCs/>
                <w:lang w:val="nl-NL"/>
              </w:rPr>
              <w:t>Manuaal</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Violon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 Ladi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Trompet B/D</w:t>
            </w:r>
          </w:p>
        </w:tc>
        <w:tc>
          <w:tcPr>
            <w:tcW w:w="74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 (buiten gebruik)</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Toonhoogte</w:t>
      </w:r>
    </w:p>
    <w:p>
      <w:pPr>
        <w:pStyle w:val="T1"/>
        <w:jc w:val="start"/>
        <w:rPr>
          <w:lang w:val="nl-NL"/>
        </w:rPr>
      </w:pPr>
      <w:r>
        <w:rPr>
          <w:lang w:val="nl-NL"/>
        </w:rPr>
        <w:t>niet meetbaar</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C-a</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 xml:space="preserve">magazijnbalg met regulateur, twee schepbalgen, windzicht (1895) en niet originele handpomp (buiten gebruik) </w:t>
      </w:r>
    </w:p>
    <w:p>
      <w:pPr>
        <w:pStyle w:val="T1"/>
        <w:jc w:val="start"/>
        <w:rPr>
          <w:lang w:val="nl-NL"/>
        </w:rPr>
      </w:pPr>
      <w:r>
        <w:rPr>
          <w:lang w:val="nl-NL"/>
        </w:rPr>
        <w:t>Winddruk</w:t>
      </w:r>
    </w:p>
    <w:p>
      <w:pPr>
        <w:pStyle w:val="T1"/>
        <w:jc w:val="start"/>
        <w:rPr>
          <w:lang w:val="nl-NL"/>
        </w:rPr>
      </w:pPr>
      <w:r>
        <w:rPr>
          <w:lang w:val="nl-NL"/>
        </w:rPr>
        <w:t>niet meetbaar</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c en cis. De Violon D 16' begint op c</w:t>
      </w:r>
      <w:r>
        <w:rPr>
          <w:vertAlign w:val="superscript"/>
          <w:lang w:val="nl-NL"/>
        </w:rPr>
        <w:t>1</w:t>
      </w:r>
      <w:r>
        <w:rPr>
          <w:lang w:val="nl-NL"/>
        </w:rPr>
        <w:t>.</w:t>
      </w:r>
    </w:p>
    <w:p>
      <w:pPr>
        <w:pStyle w:val="T1"/>
        <w:jc w:val="start"/>
        <w:rPr>
          <w:lang w:val="nl-NL"/>
        </w:rPr>
      </w:pPr>
      <w:r>
        <w:rPr>
          <w:lang w:val="nl-NL"/>
        </w:rPr>
        <w:t>Een in 1869 door Petrus van Oeckelen &amp; Zn voor deze kerk gebouwd orgel ging bij de kerkbrand van 1880 verloren.</w:t>
      </w:r>
    </w:p>
    <w:p>
      <w:pPr>
        <w:pStyle w:val="T1"/>
        <w:jc w:val="start"/>
        <w:rPr/>
      </w:pPr>
      <w:r>
        <w:rPr>
          <w:lang w:val="nl-NL"/>
        </w:rPr>
        <w:t>De originele kleurstelling, met een imitatiehouten hoofdkleur en een lichtgele klaviatuuromlijsting, is origineel. Door de slechte toestand van de vernislaag op de kas is thans niet voldoende te zien welke houtsoorten geïmiteerd zijn. In het front staan c</w:t>
      </w:r>
      <w:r>
        <w:rPr>
          <w:vertAlign w:val="superscript"/>
          <w:lang w:val="nl-NL"/>
        </w:rPr>
        <w:t>1</w:t>
      </w:r>
      <w:r>
        <w:rPr>
          <w:lang w:val="nl-NL"/>
        </w:rPr>
        <w:t>-a</w:t>
      </w:r>
      <w:r>
        <w:rPr>
          <w:vertAlign w:val="superscript"/>
          <w:lang w:val="nl-NL"/>
        </w:rPr>
        <w:t>1</w:t>
      </w:r>
      <w:r>
        <w:rPr>
          <w:lang w:val="nl-NL"/>
        </w:rPr>
        <w:t xml:space="preserve"> van de Violon D 16' en C-gis van de Prestand 8'.</w:t>
      </w:r>
    </w:p>
    <w:p>
      <w:pPr>
        <w:pStyle w:val="T1"/>
        <w:jc w:val="start"/>
        <w:rPr/>
      </w:pPr>
      <w:r>
        <w:rPr>
          <w:lang w:val="nl-NL"/>
        </w:rPr>
        <w:t>De registerknoppen zijn geordend in een rij boven de muzieklessenaar; de later toegevoegde knop voor de tremulant is rechts naast de lessenaar geplaatst. Voor het manuaal, met genagelde toetsen en geprofileerde ivoren frontons, gebruikten de Van Oeckelens mogelijk een bestaand klavier met een omvang van C-c</w:t>
      </w:r>
      <w:r>
        <w:rPr>
          <w:vertAlign w:val="superscript"/>
          <w:lang w:val="nl-NL"/>
        </w:rPr>
        <w:t>3</w:t>
      </w:r>
      <w:r>
        <w:rPr>
          <w:lang w:val="nl-NL"/>
        </w:rPr>
        <w:t>. Dit kan echter niet, zoals wel is geopperd, een van de klavieren uit het voormalige orgel van de Lutherse Kerk te Groningen zijn, aangezien dat instrument pas in 1896 is afgebroken. De hoge grenen bakstukken, met een eenvoudige ebbenhouten fineerlaag aan de bovenzijde, zijn waarschijnlijk niet van de Van Oeckelens. Het pedaalklavier dateert zonder twijfel uit 1895.</w:t>
      </w:r>
    </w:p>
    <w:p>
      <w:pPr>
        <w:pStyle w:val="T1"/>
        <w:jc w:val="start"/>
        <w:rPr>
          <w:lang w:val="nl-NL"/>
        </w:rPr>
      </w:pPr>
      <w:r>
        <w:rPr>
          <w:lang w:val="nl-NL"/>
        </w:rPr>
        <w:t>De windlade is in hele tonen ingedeeld, de cancellen lopen qua grootte vanuit het midden naar de zijkanten af.</w:t>
      </w:r>
    </w:p>
    <w:p>
      <w:pPr>
        <w:pStyle w:val="T1"/>
        <w:jc w:val="start"/>
        <w:rPr>
          <w:lang w:val="nl-NL"/>
        </w:rPr>
      </w:pPr>
      <w:r>
        <w:rPr>
          <w:lang w:val="nl-NL"/>
        </w:rPr>
        <w:t>De pedaalmechaniek is opgehangen aan onder het manuaal in een lijst aangebrachte kleine hulpveren, waarschijnlijk met de bedoeling de speelaard van het manuaal zo licht mogelijk te houden zonder bij pedaalspel hangers te veroorzaken. Deze voorziening is door de gebroeders Van Oeckelen vaker op orgels met een aangehangen pedaal aangebracht.</w:t>
      </w:r>
    </w:p>
    <w:p>
      <w:pPr>
        <w:pStyle w:val="T1"/>
        <w:jc w:val="start"/>
        <w:rPr/>
      </w:pPr>
      <w:r>
        <w:rPr>
          <w:lang w:val="nl-NL"/>
        </w:rPr>
        <w:t>C-h van de Bourdon 16' en C-H van de Holpijp 8' zijn van grenen. De Vio Ladi Gamba 8' begint op C. De Fluit 4' is van C-H gedekt, van c-f</w:t>
      </w:r>
      <w:r>
        <w:rPr>
          <w:vertAlign w:val="superscript"/>
          <w:lang w:val="nl-NL"/>
        </w:rPr>
        <w:t>2</w:t>
      </w:r>
      <w:r>
        <w:rPr>
          <w:lang w:val="nl-NL"/>
        </w:rPr>
        <w:t xml:space="preserve"> open, cilindrisch en verder open, conisch. De overige registers zijn open, cilindrisch. De Trompet 8' heeft metalen stevels met een messing ring om de bovenzijde, loden koppen, messing kelen en, als gebruikelijk bij Van Oeckelen, wijde metalen bekers.</w:t>
      </w:r>
    </w:p>
    <w:p>
      <w:pPr>
        <w:pStyle w:val="T1"/>
        <w:jc w:val="start"/>
        <w:rPr>
          <w:lang w:val="nl-NL"/>
        </w:rPr>
      </w:pPr>
      <w:r>
        <w:rPr>
          <w:lang w:val="nl-NL"/>
        </w:rPr>
        <w:t>Het vrijwel geheel gaaf bewaarde instrument heeft ernstig te lijden gehad van de voor de interieurrestauratie van 1992 aanwezige heteluchtverwarming en het is nu nog nauwelijks bespeelbaar.</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Standaardalinealettertype">
    <w:name w:val="WW-Standaardalinea-lettertype"/>
    <w:qFormat/>
    <w:rPr/>
  </w:style>
  <w:style w:type="character" w:styleId="WWStandaardalinealettertype1">
    <w:name w:val="WW-Standaardalinea-lettertype1"/>
    <w:qFormat/>
    <w:rPr/>
  </w:style>
  <w:style w:type="character" w:styleId="Opsommingstekens">
    <w:name w:val="Opsommingstekens"/>
    <w:qFormat/>
    <w:rPr/>
  </w:style>
  <w:style w:type="paragraph" w:styleId="Heading">
    <w:name w:val="Heading"/>
    <w:basedOn w:val="Normal"/>
    <w:next w:val="Subtitle"/>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Subtitle">
    <w:name w:val="Subtitle"/>
    <w:basedOn w:val="Kop"/>
    <w:next w:val="TextBody"/>
    <w:qFormat/>
    <w:pPr>
      <w:jc w:val="center"/>
    </w:pPr>
    <w:rPr>
      <w:i/>
      <w:iCs/>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2008-05-05T12:40:00Z</dcterms:created>
  <dc:creator>WS1</dc:creator>
  <dc:description/>
  <dc:language>en-US</dc:language>
  <cp:lastModifiedBy>Hans Steketee</cp:lastModifiedBy>
  <cp:lastPrinted>2113-01-01T00:00:00Z</cp:lastPrinted>
  <dcterms:modified xsi:type="dcterms:W3CDTF">2008-09-09T14:50:00Z</dcterms:modified>
  <cp:revision>4</cp:revision>
  <dc:subject/>
  <dc:title>Wirdum / 1879</dc:title>
</cp:coreProperties>
</file>