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Veenwouden (Feanwâlden) / 1895</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Normal"/>
        <w:rPr>
          <w:rFonts w:ascii="Times New Roman" w:hAnsi="Times New Roman" w:cs="Times New Roman"/>
          <w:i/>
          <w:i/>
        </w:rPr>
      </w:pPr>
      <w:r>
        <w:rPr>
          <w:rFonts w:cs="Times New Roman" w:ascii="Times New Roman" w:hAnsi="Times New Roman"/>
          <w:i/>
        </w:rPr>
        <w:t>Driezijdig gesloten zaalkerkje met kleine geveltoren, gebouwd in 1865.</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front is terug te voeren op het front van Wouterswoude (1894). Het is uitgevoerd met vlakke tussenvelden en zonder ornamentiek bij de pijpvoeten.</w:t>
      </w:r>
    </w:p>
    <w:p>
      <w:pPr>
        <w:pStyle w:val="T2Kunst"/>
        <w:jc w:val="start"/>
        <w:rPr>
          <w:lang w:val="nl-NL"/>
        </w:rPr>
      </w:pPr>
      <w:r>
        <w:rPr>
          <w:lang w:val="nl-NL"/>
        </w:rPr>
        <w:t>De symmetrisch uitgevoerde blinderingen bestaan uit voluten en plantaardige motieven, waarbij uit kleine voluten halverwege een tweede voluutkrul voortkomt. Dit is het geval bij de blinderingen in de torens en bij de opzetstukken op de zijtorens. Opvallend is bovendien dat de ruimte binnen een voluut wordt opgevuld met een bloem, waarvan takjes en/of bloemblaadjes aan de rand van de voluutband zijn verbonden.</w:t>
      </w:r>
    </w:p>
    <w:p>
      <w:pPr>
        <w:pStyle w:val="T2Kunst"/>
        <w:jc w:val="start"/>
        <w:rPr>
          <w:lang w:val="nl-NL"/>
        </w:rPr>
      </w:pPr>
      <w:r>
        <w:rPr>
          <w:lang w:val="nl-NL"/>
        </w:rPr>
        <w:t>Aardig is het wat springerige karakter van de blinderingen bij de bovenste velden, wat zich in het kleine ornament rond de afsluitende krul voortzet. In de opzetstukken kleine details die herinneren vaag aan het schuimwerk dat kenmerkend was voor het rococo.</w:t>
      </w:r>
    </w:p>
    <w:p>
      <w:pPr>
        <w:pStyle w:val="T2Kunst"/>
        <w:jc w:val="start"/>
        <w:rPr/>
      </w:pPr>
      <w:r>
        <w:rPr>
          <w:lang w:val="nl-NL"/>
        </w:rPr>
        <w:t xml:space="preserve">De bekronende lier op de middentoren steekt parmantig uit boven het vrij laag gehouden opzetstuk en wordt ondersteund door het ruggelings gekoppeld uiteinde van twee grote voluten. </w:t>
      </w:r>
      <w:r>
        <w:rPr/>
        <w:t>De opzetstukken op de zijtorens eindigen in een hartvormig bovenstuk, waarbinnen een forse bloem is geplaatst.</w:t>
      </w:r>
    </w:p>
    <w:p>
      <w:pPr>
        <w:pStyle w:val="T2Kunst"/>
        <w:jc w:val="start"/>
        <w:rPr/>
      </w:pPr>
      <w:r>
        <w:rPr>
          <w:lang w:val="nl-NL"/>
        </w:rPr>
        <w:t xml:space="preserve">De vleugels zijn van het type dat zich naar onderen toe steeds verbreedt en dan uiteindelijk op de bovenlijst van de balustrade komt te rusten. Bovenaan ontspringend met een S-voluut en steeds breder wordend met grotere C-voluten, bevatten de vleugels verder alleen bladranken. De </w:t>
      </w:r>
      <w:r>
        <w:rPr>
          <w:i/>
          <w:iCs/>
          <w:lang w:val="nl-NL"/>
        </w:rPr>
        <w:t>culs-de-lampe</w:t>
      </w:r>
      <w:r>
        <w:rPr>
          <w:lang w:val="nl-NL"/>
        </w:rPr>
        <w:t xml:space="preserve"> bestaan uit omgekruld blad.</w:t>
      </w:r>
    </w:p>
    <w:p>
      <w:pPr>
        <w:pStyle w:val="T2Kunst"/>
        <w:jc w:val="start"/>
        <w:rPr>
          <w:lang w:val="nl-NL"/>
        </w:rPr>
      </w:pPr>
      <w:r>
        <w:rPr>
          <w:lang w:val="nl-NL"/>
        </w:rPr>
        <w:t>Bijzonder zijn de gietijzeren kolommen onder het orgel, van onder tot boven omwonden met een bladrank met bloemen.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i/>
          <w:lang w:val="nl-NL"/>
        </w:rPr>
        <w:t>De Mixtuur</w:t>
      </w:r>
      <w:r>
        <w:rPr>
          <w:iCs/>
          <w:lang w:val="nl-NL"/>
        </w:rPr>
        <w:t>, 38 (1982), 302.</w:t>
      </w:r>
    </w:p>
    <w:p>
      <w:pPr>
        <w:pStyle w:val="T3Lit"/>
        <w:jc w:val="start"/>
        <w:rPr>
          <w:lang w:val="nl-NL"/>
        </w:rPr>
      </w:pPr>
      <w:r>
        <w:rPr>
          <w:iCs/>
          <w:lang w:val="nl-NL"/>
        </w:rPr>
        <w:t xml:space="preserve">Jan Jongepier, </w:t>
      </w:r>
      <w:r>
        <w:rPr>
          <w:i/>
          <w:iCs/>
          <w:lang w:val="nl-NL"/>
        </w:rPr>
        <w:t>Vijf eeuwen Friese orgelbouw.</w:t>
      </w:r>
      <w:r>
        <w:rPr>
          <w:iCs/>
          <w:lang w:val="nl-NL"/>
        </w:rPr>
        <w:t xml:space="preserve"> Leeuwarden, 2004, 211.</w:t>
      </w:r>
    </w:p>
    <w:p>
      <w:pPr>
        <w:pStyle w:val="T3Lit"/>
        <w:jc w:val="start"/>
        <w:rPr/>
      </w:pPr>
      <w:r>
        <w:rPr>
          <w:i/>
          <w:iCs/>
          <w:lang w:val="nl-NL"/>
        </w:rPr>
        <w:t>Het Orgel</w:t>
      </w:r>
      <w:r>
        <w:rPr>
          <w:lang w:val="nl-NL"/>
        </w:rPr>
        <w:t>, 79/7-8 (1983), 230.</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r>
    </w:p>
    <w:p>
      <w:pPr>
        <w:pStyle w:val="T3Lit"/>
        <w:jc w:val="start"/>
        <w:rPr>
          <w:bCs/>
          <w:lang w:val="nl-NL"/>
        </w:rPr>
      </w:pPr>
      <w:r>
        <w:rPr>
          <w:bCs/>
          <w:lang w:val="nl-NL"/>
        </w:rPr>
        <w:t>Monumentnummer 11701</w:t>
      </w:r>
    </w:p>
    <w:p>
      <w:pPr>
        <w:pStyle w:val="T3Lit"/>
        <w:jc w:val="start"/>
        <w:rPr>
          <w:lang w:val="nl-NL"/>
        </w:rPr>
      </w:pPr>
      <w:r>
        <w:rPr>
          <w:bCs/>
          <w:lang w:val="nl-NL"/>
        </w:rPr>
        <w:t>Orgelnummer 1548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pPr>
      <w:r>
        <w:rPr/>
        <w:t>Bakker &amp; Timmenga 1927</w:t>
      </w:r>
    </w:p>
    <w:p>
      <w:pPr>
        <w:pStyle w:val="T1"/>
        <w:numPr>
          <w:ilvl w:val="0"/>
          <w:numId w:val="2"/>
        </w:numPr>
        <w:jc w:val="start"/>
        <w:rPr>
          <w:lang w:val="nl-NL"/>
        </w:rPr>
      </w:pPr>
      <w:r>
        <w:rPr>
          <w:lang w:val="nl-NL"/>
        </w:rPr>
        <w:t>orgel schoongemaakt, frontpijpen gepolijst</w:t>
      </w:r>
    </w:p>
    <w:p>
      <w:pPr>
        <w:pStyle w:val="T1"/>
        <w:jc w:val="start"/>
        <w:rPr>
          <w:lang w:val="nl-NL"/>
        </w:rPr>
      </w:pPr>
      <w:r>
        <w:rPr>
          <w:lang w:val="nl-NL"/>
        </w:rPr>
      </w:r>
    </w:p>
    <w:p>
      <w:pPr>
        <w:pStyle w:val="T1"/>
        <w:jc w:val="start"/>
        <w:rPr/>
      </w:pPr>
      <w:r>
        <w:rPr/>
        <w:t>Bakker &amp; Timmenga 1945</w:t>
      </w:r>
    </w:p>
    <w:p>
      <w:pPr>
        <w:pStyle w:val="T1"/>
        <w:numPr>
          <w:ilvl w:val="0"/>
          <w:numId w:val="2"/>
        </w:numPr>
        <w:jc w:val="start"/>
        <w:rPr/>
      </w:pPr>
      <w:r>
        <w:rPr>
          <w:lang w:val="nl-NL"/>
        </w:rPr>
        <w:t>nieuw pedaalklavier (C-d</w:t>
      </w:r>
      <w:r>
        <w:rPr>
          <w:vertAlign w:val="superscript"/>
          <w:lang w:val="nl-NL"/>
        </w:rPr>
        <w:t>1</w:t>
      </w:r>
      <w:r>
        <w:rPr>
          <w:lang w:val="nl-NL"/>
        </w:rPr>
        <w:t xml:space="preserve"> in plaats van C-g) met walsbord en mechaniek</w:t>
      </w:r>
    </w:p>
    <w:p>
      <w:pPr>
        <w:pStyle w:val="T1"/>
        <w:numPr>
          <w:ilvl w:val="0"/>
          <w:numId w:val="2"/>
        </w:numPr>
        <w:jc w:val="start"/>
        <w:rPr>
          <w:lang w:val="nl-NL"/>
        </w:rPr>
      </w:pPr>
      <w:r>
        <w:rPr>
          <w:lang w:val="nl-NL"/>
        </w:rPr>
        <w:t>nieuwe orgelbank</w:t>
      </w:r>
    </w:p>
    <w:p>
      <w:pPr>
        <w:pStyle w:val="T1"/>
        <w:jc w:val="start"/>
        <w:rPr>
          <w:lang w:val="nl-NL"/>
        </w:rPr>
      </w:pPr>
      <w:r>
        <w:rPr>
          <w:lang w:val="nl-NL"/>
        </w:rPr>
      </w:r>
    </w:p>
    <w:p>
      <w:pPr>
        <w:pStyle w:val="T1"/>
        <w:jc w:val="start"/>
        <w:rPr>
          <w:lang w:val="nl-NL"/>
        </w:rPr>
      </w:pPr>
      <w:r>
        <w:rPr>
          <w:lang w:val="nl-NL"/>
        </w:rPr>
        <w:t>Orgelmakerij Bakker &amp; Timmenga 1981</w:t>
      </w:r>
    </w:p>
    <w:p>
      <w:pPr>
        <w:pStyle w:val="T1"/>
        <w:numPr>
          <w:ilvl w:val="0"/>
          <w:numId w:val="3"/>
        </w:numPr>
        <w:jc w:val="start"/>
        <w:rPr>
          <w:lang w:val="nl-NL"/>
        </w:rPr>
      </w:pPr>
      <w:r>
        <w:rPr>
          <w:lang w:val="nl-NL"/>
        </w:rPr>
        <w:t>windlade gerestaureerd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Gemshoorn</w:t>
            </w:r>
          </w:p>
          <w:p>
            <w:pPr>
              <w:pStyle w:val="T4dispositie"/>
              <w:jc w:val="start"/>
              <w:rPr>
                <w:lang w:val="nl-NL"/>
              </w:rPr>
            </w:pPr>
            <w:r>
              <w:rPr>
                <w:lang w:val="nl-NL"/>
              </w:rPr>
              <w:t>Mixtuur</w:t>
            </w:r>
          </w:p>
        </w:tc>
        <w:tc>
          <w:tcPr>
            <w:tcW w:w="837"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r>
              <w:rPr/>
              <w:t>'</w:t>
            </w:r>
          </w:p>
          <w:p>
            <w:pPr>
              <w:pStyle w:val="T4dispositie"/>
              <w:jc w:val="start"/>
              <w:rPr>
                <w:lang w:val="en-GB"/>
              </w:rPr>
            </w:pPr>
            <w:r>
              <w:rPr>
                <w:lang w:val="en-GB"/>
              </w:rPr>
              <w:t>8</w:t>
            </w:r>
            <w:r>
              <w:rPr/>
              <w:t>'</w:t>
            </w:r>
          </w:p>
          <w:p>
            <w:pPr>
              <w:pStyle w:val="T4dispositie"/>
              <w:jc w:val="start"/>
              <w:rPr/>
            </w:pPr>
            <w:r>
              <w:rPr/>
              <w:t>8'</w:t>
            </w:r>
          </w:p>
          <w:p>
            <w:pPr>
              <w:pStyle w:val="T4dispositie"/>
              <w:jc w:val="start"/>
              <w:rPr>
                <w:lang w:val="en-GB"/>
              </w:rPr>
            </w:pPr>
            <w:r>
              <w:rPr/>
              <w:t>4'</w:t>
            </w:r>
          </w:p>
          <w:p>
            <w:pPr>
              <w:pStyle w:val="T4dispositie"/>
              <w:jc w:val="start"/>
              <w:rPr>
                <w:lang w:val="en-GB"/>
              </w:rPr>
            </w:pPr>
            <w:r>
              <w:rPr/>
              <w:t>4'</w:t>
            </w:r>
          </w:p>
          <w:p>
            <w:pPr>
              <w:pStyle w:val="T4dispositie"/>
              <w:jc w:val="start"/>
              <w:rPr>
                <w:lang w:val="en-GB"/>
              </w:rPr>
            </w:pPr>
            <w:r>
              <w:rPr>
                <w:lang w:val="en-GB"/>
              </w:rPr>
              <w:t>2'</w:t>
            </w:r>
          </w:p>
          <w:p>
            <w:pPr>
              <w:pStyle w:val="T4dispositie"/>
              <w:jc w:val="start"/>
              <w:rPr>
                <w:lang w:val="nl-NL"/>
              </w:rPr>
            </w:pPr>
            <w:r>
              <w:rPr>
                <w:lang w:val="nl-NL"/>
              </w:rPr>
              <w:t>2-4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pPr>
      <w:r>
        <w:rPr/>
        <w:t>Samenstelling vulstem</w:t>
      </w:r>
    </w:p>
    <w:tbl>
      <w:tblPr>
        <w:tblW w:w="4635" w:type="dxa"/>
        <w:jc w:val="start"/>
        <w:tblInd w:w="-70" w:type="dxa"/>
        <w:tblLayout w:type="fixed"/>
        <w:tblCellMar>
          <w:top w:w="0" w:type="dxa"/>
          <w:start w:w="70" w:type="dxa"/>
          <w:bottom w:w="0" w:type="dxa"/>
          <w:end w:w="70" w:type="dxa"/>
        </w:tblCellMar>
      </w:tblPr>
      <w:tblGrid>
        <w:gridCol w:w="1023"/>
        <w:gridCol w:w="718"/>
        <w:gridCol w:w="718"/>
        <w:gridCol w:w="729"/>
        <w:gridCol w:w="729"/>
        <w:gridCol w:w="718"/>
      </w:tblGrid>
      <w:tr>
        <w:trPr/>
        <w:tc>
          <w:tcPr>
            <w:tcW w:w="1023" w:type="dxa"/>
            <w:tcBorders/>
          </w:tcPr>
          <w:p>
            <w:pPr>
              <w:pStyle w:val="T4dispositie"/>
              <w:rPr/>
            </w:pPr>
            <w:r>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G</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g</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g</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g</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(1895)</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Frontpijpen zijn van Engels tin. De Prestant 8' spreekt vanaf E in de drie torens (middelste pijp van de zijtorens is stom), vervolgens in de onderste velden (drie grootste pijpen aan beide zijden).</w:t>
      </w:r>
    </w:p>
    <w:p>
      <w:pPr>
        <w:pStyle w:val="T1"/>
        <w:jc w:val="start"/>
        <w:rPr/>
      </w:pPr>
      <w:r>
        <w:rPr/>
        <w:t>Het handklavier is een eiken staartklavier, het beleg op de ondertoetsen is van celluloid.</w:t>
      </w:r>
    </w:p>
    <w:p>
      <w:pPr>
        <w:pStyle w:val="T1"/>
        <w:jc w:val="start"/>
        <w:rPr>
          <w:lang w:val="nl-NL"/>
        </w:rPr>
      </w:pPr>
      <w:r>
        <w:rPr>
          <w:lang w:val="nl-NL"/>
        </w:rPr>
        <w:t>De registerknoppen, met witte porseleinen naamplaatjes, zijn boven de lessenaar geplaatst. Knieschot en orgelbank dateren uit hetzelfde jaar als het pedaalklavier (1945).</w:t>
      </w:r>
    </w:p>
    <w:p>
      <w:pPr>
        <w:pStyle w:val="T1"/>
        <w:jc w:val="start"/>
        <w:rPr/>
      </w:pPr>
      <w:r>
        <w:rPr/>
        <w:t xml:space="preserve">Het windtoestel is onder in de kas geplaatst. </w:t>
      </w:r>
      <w:r>
        <w:rPr>
          <w:lang w:val="nl-NL"/>
        </w:rPr>
        <w:t>Het kanaal is van eiken; het Ventiel is een schuifje op de bovenzijde van het staand kanaal.</w:t>
      </w:r>
    </w:p>
    <w:p>
      <w:pPr>
        <w:pStyle w:val="T1"/>
        <w:jc w:val="start"/>
        <w:rPr/>
      </w:pPr>
      <w:r>
        <w:rPr>
          <w:lang w:val="nl-NL"/>
        </w:rPr>
        <w:t>De windlade is van eiken en de stokken zijn van mahonie. De ventielkast heeft drie opliggende voorslagen. De cancelvolgorde is: f cis A G H dis g / f</w:t>
      </w:r>
      <w:r>
        <w:rPr>
          <w:vertAlign w:val="superscript"/>
          <w:lang w:val="nl-NL"/>
        </w:rPr>
        <w:t>3</w:t>
      </w:r>
      <w:r>
        <w:rPr>
          <w:lang w:val="nl-NL"/>
        </w:rPr>
        <w:t>-a / F Dis Cis C D E Fis/ b-e</w:t>
      </w:r>
      <w:r>
        <w:rPr>
          <w:vertAlign w:val="superscript"/>
          <w:lang w:val="nl-NL"/>
        </w:rPr>
        <w:t>3</w:t>
      </w:r>
      <w:r>
        <w:rPr>
          <w:lang w:val="nl-NL"/>
        </w:rPr>
        <w:t xml:space="preserve"> / gis e c Gis B d fis (f aan klavierzijde). Onder de lade een eiken walsraam met grenen walsen.</w:t>
      </w:r>
    </w:p>
    <w:p>
      <w:pPr>
        <w:pStyle w:val="T1"/>
        <w:jc w:val="start"/>
        <w:rPr>
          <w:lang w:val="nl-NL"/>
        </w:rPr>
      </w:pPr>
      <w:r>
        <w:rPr>
          <w:lang w:val="nl-NL"/>
        </w:rPr>
        <w:t>De Prestant 8' heeft open houten pijpen (geschilderd) voor C-Dis, opgesteld achter de middentoren. De Holpijp 8' heeft eiken pijpen voor C-H. De Viola di Gamba 8' is van C-H gecombineerd met de Holpijp, in de discant zijn pijpen van hoog tingehalte toegepast. De Fluit 4' is gedekt, het hoogste octaaf is open, conisch pijpen. De Gemshoorn 2' is cilindrisch.</w:t>
      </w:r>
    </w:p>
    <w:p>
      <w:pPr>
        <w:pStyle w:val="T1"/>
        <w:jc w:val="start"/>
        <w:rPr/>
      </w:pPr>
      <w:r>
        <w:rPr>
          <w:lang w:val="nl-NL"/>
        </w:rPr>
        <w:t>Het metalen binnenpijpwerk heeft spits geritste bovenlabia. Expressions zijn toegepast bij Prestant en Viola di Gamba tot en met h</w:t>
      </w:r>
      <w:r>
        <w:rPr>
          <w:vertAlign w:val="superscript"/>
          <w:lang w:val="nl-NL"/>
        </w:rPr>
        <w:t>2</w:t>
      </w:r>
      <w:r>
        <w:rPr>
          <w:lang w:val="nl-NL"/>
        </w:rPr>
        <w:t xml:space="preserve"> en verder bij de Octaaf 4' (C-h</w:t>
      </w:r>
      <w:r>
        <w:rPr>
          <w:vertAlign w:val="superscript"/>
          <w:lang w:val="nl-NL"/>
        </w:rPr>
        <w:t>1</w:t>
      </w:r>
      <w:r>
        <w:rPr>
          <w:lang w:val="nl-NL"/>
        </w:rPr>
        <w:t>), de Gemshoorn 2' (C-h) en bij de Mixtuur tot half-voets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extBodyIndent">
    <w:name w:val="Body Text Indent"/>
    <w:basedOn w:val="Normal"/>
    <w:pPr>
      <w:widowControl/>
      <w:ind w:start="705" w:hanging="705"/>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2008-05-05T12:41:00Z</dcterms:created>
  <dc:creator>WS1</dc:creator>
  <dc:description/>
  <dc:language>en-US</dc:language>
  <cp:lastModifiedBy>NIvO</cp:lastModifiedBy>
  <dcterms:modified xsi:type="dcterms:W3CDTF">2008-07-21T11:25:00Z</dcterms:modified>
  <cp:revision>3</cp:revision>
  <dc:subject/>
  <dc:title>Heumen / ca 1860</dc:title>
</cp:coreProperties>
</file>