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Bodegraven - De Meije / 1896</w:t>
      </w:r>
    </w:p>
    <w:p>
      <w:pPr>
        <w:pStyle w:val="Heading2"/>
        <w:jc w:val="both"/>
        <w:rPr>
          <w:i w:val="false"/>
          <w:i w:val="false"/>
          <w:iCs/>
        </w:rPr>
      </w:pPr>
      <w:r>
        <w:rPr>
          <w:i w:val="false"/>
          <w:iCs/>
        </w:rPr>
        <w:t>R.K. Kerk Onze Lieve Vrouwe Geboorte</w:t>
      </w:r>
    </w:p>
    <w:p>
      <w:pPr>
        <w:pStyle w:val="T1"/>
        <w:jc w:val="start"/>
        <w:rPr>
          <w:i/>
          <w:i/>
          <w:iCs/>
          <w:lang w:val="nl-NL"/>
        </w:rPr>
      </w:pPr>
      <w:r>
        <w:rPr>
          <w:i/>
          <w:iCs/>
          <w:lang w:val="nl-NL"/>
        </w:rPr>
      </w:r>
    </w:p>
    <w:p>
      <w:pPr>
        <w:pStyle w:val="T1"/>
        <w:jc w:val="start"/>
        <w:rPr>
          <w:i/>
          <w:i/>
          <w:iCs/>
          <w:lang w:val="nl-NL"/>
        </w:rPr>
      </w:pPr>
      <w:r>
        <w:rPr>
          <w:i/>
          <w:iCs/>
          <w:lang w:val="nl-NL"/>
        </w:rPr>
        <w:t>Neogotische zaalkerk met geveltoren en driezijdige koorsluiting naar ontwerp van W.J. van Vogelpoel. Ingewijd in 1873. Inwendig gemoderniseerd.</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szCs w:val="24"/>
          <w:lang w:val="nl-NL"/>
        </w:rPr>
      </w:pPr>
      <w:r>
        <w:rPr>
          <w:szCs w:val="24"/>
          <w:lang w:val="nl-NL"/>
        </w:rPr>
      </w:r>
    </w:p>
    <w:p>
      <w:pPr>
        <w:pStyle w:val="Heading3"/>
        <w:rPr/>
      </w:pPr>
      <w:r>
        <w:rPr/>
        <w:t>Kunsthistorische aspecten</w:t>
      </w:r>
    </w:p>
    <w:p>
      <w:pPr>
        <w:pStyle w:val="T2Kunst"/>
        <w:jc w:val="start"/>
        <w:rPr/>
      </w:pPr>
      <w:r>
        <w:rPr>
          <w:lang w:val="nl-NL"/>
        </w:rPr>
        <w:t>Qua vorm het meest voorkomende orgel van zijn tijd: een dried</w:t>
      </w:r>
      <w:r>
        <w:rPr/>
        <w:t xml:space="preserve">elig blokvormig kasmodel. </w:t>
      </w:r>
      <w:r>
        <w:rPr>
          <w:lang w:val="nl-NL"/>
        </w:rPr>
        <w:t xml:space="preserve">Het lijstwerk is rijk uitgevoerd en met spreukbanden versierd. Het orgel vormt een mooi geheel met de balustrade links en rechts ervan, en komt daaruit iets verhoogd naar voren. De onderkas heeft kleine pilasterzuilen waardoor het lijstwerk van de bovenkas visueel ondersteund wordt. De tootbogen ter blindering van de pijpuiteinden zijn rijk bewerkt en laat herhaaldelijk een halve gotische vierpas zien. </w:t>
      </w:r>
      <w:r>
        <w:rPr/>
        <w:t xml:space="preserve">De bovenzijde van het orgel is standaard neogotisch: een wimberg met schouders in het midden met op de schouders een stukje boogfries, dat iets lager boven de zijvelden doorloopt. </w:t>
      </w:r>
      <w:r>
        <w:rPr>
          <w:lang w:val="nl-NL"/>
        </w:rPr>
        <w:t>Daarboven tootbogen, pinakels en een kruisbloem in de top. Hoe standaard dit alles ook is, het ontwerp is hier geslaagd uitgevoerd.</w:t>
      </w:r>
    </w:p>
    <w:p>
      <w:pPr>
        <w:pStyle w:val="T2Kunst"/>
        <w:jc w:val="start"/>
        <w:rPr>
          <w:lang w:val="nl-NL"/>
        </w:rPr>
      </w:pPr>
      <w:r>
        <w:rPr>
          <w:lang w:val="nl-NL"/>
        </w:rPr>
      </w:r>
    </w:p>
    <w:p>
      <w:pPr>
        <w:pStyle w:val="T3Lit"/>
        <w:jc w:val="start"/>
        <w:rPr>
          <w:b/>
          <w:b/>
          <w:bCs/>
        </w:rPr>
      </w:pPr>
      <w:r>
        <w:rPr>
          <w:b/>
          <w:bCs/>
        </w:rPr>
        <w:t>Literatuur</w:t>
      </w:r>
    </w:p>
    <w:p>
      <w:pPr>
        <w:pStyle w:val="T3Lit"/>
        <w:rPr/>
      </w:pPr>
      <w:r>
        <w:rPr/>
        <w:t xml:space="preserve">Philip van den Berg, ‘Het moderne Nederlandse orgel in Zwolle (I)’. </w:t>
      </w:r>
      <w:r>
        <w:rPr>
          <w:i/>
          <w:iCs/>
        </w:rPr>
        <w:t>De Orgelvriend</w:t>
      </w:r>
      <w:r>
        <w:rPr/>
        <w:t>, 48/12 (2006), 26-32.</w:t>
      </w:r>
    </w:p>
    <w:p>
      <w:pPr>
        <w:pStyle w:val="T3Lit"/>
        <w:rPr/>
      </w:pPr>
      <w:r>
        <w:rPr>
          <w:i/>
          <w:iCs/>
        </w:rPr>
        <w:t>Het Orgel</w:t>
      </w:r>
      <w:r>
        <w:rPr/>
        <w:t>, 2/10 (1887); 11/5 (1896), 63.</w:t>
      </w:r>
    </w:p>
    <w:p>
      <w:pPr>
        <w:pStyle w:val="T3Lit"/>
        <w:rPr/>
      </w:pPr>
      <w:r>
        <w:rPr/>
      </w:r>
    </w:p>
    <w:p>
      <w:pPr>
        <w:pStyle w:val="T3Lit"/>
        <w:rPr>
          <w:b/>
          <w:b/>
          <w:bCs/>
        </w:rPr>
      </w:pPr>
      <w:r>
        <w:rPr>
          <w:b/>
          <w:bCs/>
        </w:rPr>
        <w:t>Niet gepubliceerde bron</w:t>
      </w:r>
    </w:p>
    <w:p>
      <w:pPr>
        <w:pStyle w:val="T3Lit"/>
        <w:rPr/>
      </w:pPr>
      <w:r>
        <w:rPr/>
        <w:t>Maarschalkerweerd-documentatie Paul Houdijk.</w:t>
      </w:r>
    </w:p>
    <w:p>
      <w:pPr>
        <w:pStyle w:val="T3Lit"/>
        <w:rPr/>
      </w:pPr>
      <w:r>
        <w:rPr/>
      </w:r>
    </w:p>
    <w:p>
      <w:pPr>
        <w:pStyle w:val="Heading2"/>
        <w:jc w:val="both"/>
        <w:rPr>
          <w:i w:val="false"/>
          <w:i w:val="false"/>
          <w:iCs/>
        </w:rPr>
      </w:pPr>
      <w:r>
        <w:rPr>
          <w:i w:val="false"/>
          <w:iCs/>
        </w:rPr>
        <w:t>Historische gegevens</w:t>
      </w:r>
    </w:p>
    <w:p>
      <w:pPr>
        <w:pStyle w:val="T1"/>
        <w:jc w:val="start"/>
        <w:rPr>
          <w:i/>
          <w:i/>
          <w:iCs/>
          <w:szCs w:val="24"/>
          <w:lang w:val="nl-NL"/>
        </w:rPr>
      </w:pPr>
      <w:r>
        <w:rPr>
          <w:i/>
          <w:iCs/>
          <w:szCs w:val="24"/>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enkele panelen kas vervangen door gaas en doek</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4dispositie"/>
        <w:jc w:val="start"/>
        <w:rPr/>
      </w:pPr>
      <w:r>
        <w:rPr/>
        <w:t>Dispositie</w:t>
      </w:r>
    </w:p>
    <w:tbl>
      <w:tblPr>
        <w:tblW w:w="4390" w:type="dxa"/>
        <w:jc w:val="start"/>
        <w:tblInd w:w="-70" w:type="dxa"/>
        <w:tblLayout w:type="fixed"/>
        <w:tblCellMar>
          <w:top w:w="0" w:type="dxa"/>
          <w:start w:w="70" w:type="dxa"/>
          <w:bottom w:w="0" w:type="dxa"/>
          <w:end w:w="70" w:type="dxa"/>
        </w:tblCellMar>
      </w:tblPr>
      <w:tblGrid>
        <w:gridCol w:w="1510"/>
        <w:gridCol w:w="720"/>
        <w:gridCol w:w="1620"/>
        <w:gridCol w:w="540"/>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c>
          <w:tcPr>
            <w:tcW w:w="1620" w:type="dxa"/>
            <w:tcBorders/>
          </w:tcPr>
          <w:p>
            <w:pPr>
              <w:pStyle w:val="T4dispositie"/>
              <w:jc w:val="start"/>
              <w:rPr>
                <w:lang w:val="nl-NL"/>
              </w:rPr>
            </w:pPr>
            <w:r>
              <w:rPr>
                <w:i/>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pPr>
            <w:r>
              <w:rPr/>
              <w:t>Dolcishimo</w:t>
            </w:r>
          </w:p>
          <w:p>
            <w:pPr>
              <w:pStyle w:val="T4dispositie"/>
              <w:jc w:val="start"/>
              <w:rPr/>
            </w:pPr>
            <w:r>
              <w:rPr/>
              <w:t>Fluit-Dolce</w:t>
            </w:r>
          </w:p>
          <w:p>
            <w:pPr>
              <w:pStyle w:val="T4dispositie"/>
              <w:jc w:val="start"/>
              <w:rPr/>
            </w:pPr>
            <w:r>
              <w:rPr/>
              <w:t>Salicionaal</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vanaf f met 2 2/3</w:t>
      </w:r>
    </w:p>
    <w:p>
      <w:pPr>
        <w:pStyle w:val="T4dispositie"/>
        <w:rPr>
          <w:lang w:val="nl-NL"/>
        </w:rPr>
      </w:pPr>
      <w:r>
        <w:rPr>
          <w:lang w:val="nl-NL"/>
        </w:rPr>
      </w:r>
    </w:p>
    <w:p>
      <w:pPr>
        <w:pStyle w:val="T1"/>
        <w:jc w:val="start"/>
        <w:rPr>
          <w:szCs w:val="24"/>
          <w:lang w:val="nl-NL"/>
        </w:rPr>
      </w:pPr>
      <w:r>
        <w:rPr>
          <w:szCs w:val="24"/>
          <w:lang w:val="nl-NL"/>
        </w:rPr>
        <w:t>Werktuiglijk register</w:t>
      </w:r>
    </w:p>
    <w:p>
      <w:pPr>
        <w:pStyle w:val="T1"/>
        <w:jc w:val="start"/>
        <w:rPr>
          <w:szCs w:val="24"/>
          <w:lang w:val="nl-NL"/>
        </w:rPr>
      </w:pPr>
      <w:r>
        <w:rPr>
          <w:szCs w:val="24"/>
          <w:lang w:val="nl-NL"/>
        </w:rPr>
        <w:t>manuaalkoppel</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w:t>
      </w:r>
    </w:p>
    <w:tbl>
      <w:tblPr>
        <w:tblW w:w="2932" w:type="dxa"/>
        <w:jc w:val="start"/>
        <w:tblInd w:w="-70" w:type="dxa"/>
        <w:tblLayout w:type="fixed"/>
        <w:tblCellMar>
          <w:top w:w="0" w:type="dxa"/>
          <w:start w:w="70" w:type="dxa"/>
          <w:bottom w:w="0" w:type="dxa"/>
          <w:end w:w="70" w:type="dxa"/>
        </w:tblCellMar>
      </w:tblPr>
      <w:tblGrid>
        <w:gridCol w:w="1474"/>
        <w:gridCol w:w="729"/>
        <w:gridCol w:w="729"/>
      </w:tblGrid>
      <w:tr>
        <w:trPr/>
        <w:tc>
          <w:tcPr>
            <w:tcW w:w="1474" w:type="dxa"/>
            <w:tcBorders/>
          </w:tcPr>
          <w:p>
            <w:pPr>
              <w:pStyle w:val="T1"/>
              <w:jc w:val="start"/>
              <w:rPr>
                <w:szCs w:val="24"/>
                <w:lang w:val="nl-NL"/>
              </w:rPr>
            </w:pPr>
            <w:r>
              <w:rPr>
                <w:szCs w:val="24"/>
                <w:lang w:val="nl-NL"/>
              </w:rPr>
              <w:t>Octaaf</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tc>
        <w:tc>
          <w:tcPr>
            <w:tcW w:w="729" w:type="dxa"/>
            <w:tcBorders/>
          </w:tcPr>
          <w:p>
            <w:pPr>
              <w:pStyle w:val="T4dispositie"/>
              <w:jc w:val="start"/>
              <w:rPr>
                <w:lang w:val="nl-NL"/>
              </w:rPr>
            </w:pPr>
            <w:r>
              <w:rPr>
                <w:lang w:val="nl-NL"/>
              </w:rPr>
              <w:t>f</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435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C-f</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 met twee schepbalgen en trapinstallatie (1896)</w:t>
      </w:r>
    </w:p>
    <w:p>
      <w:pPr>
        <w:pStyle w:val="T1"/>
        <w:jc w:val="start"/>
        <w:rPr>
          <w:szCs w:val="24"/>
          <w:lang w:val="nl-NL"/>
        </w:rPr>
      </w:pPr>
      <w:r>
        <w:rPr>
          <w:szCs w:val="24"/>
          <w:lang w:val="nl-NL"/>
        </w:rPr>
        <w:t>Winddruk</w:t>
      </w:r>
    </w:p>
    <w:p>
      <w:pPr>
        <w:pStyle w:val="T1"/>
        <w:jc w:val="start"/>
        <w:rPr>
          <w:szCs w:val="24"/>
          <w:lang w:val="nl-NL"/>
        </w:rPr>
      </w:pPr>
      <w:r>
        <w:rPr>
          <w:szCs w:val="24"/>
          <w:lang w:val="nl-NL"/>
        </w:rPr>
        <w:t>75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rechterzijde</w:t>
      </w:r>
    </w:p>
    <w:p>
      <w:pPr>
        <w:pStyle w:val="T1"/>
        <w:jc w:val="start"/>
        <w:rPr>
          <w:szCs w:val="24"/>
          <w:lang w:val="nl-NL"/>
        </w:rPr>
      </w:pPr>
      <w:r>
        <w:rPr>
          <w:szCs w:val="24"/>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i/>
          <w:lang w:val="nl-NL"/>
        </w:rPr>
        <w:t>Het Orgel</w:t>
      </w:r>
      <w:r>
        <w:rPr>
          <w:lang w:val="nl-NL"/>
        </w:rPr>
        <w:t xml:space="preserve"> bracht in december 1887 en in juli 1896 een bericht over het nieuwe orgel in de parochiekerk van De Meije. Naar alle waarschijnlijkheid ging het instrument van 1887 door brand verloren, waarna het in 1896 met gelijke dispositie en geheel aan de hand van de - in particulier bezit bewaard gebleven - bestaande fronttekening werd herbouwd. Volgens de banderol in het frontbasement op de tekening van 1887 herinnerde het eerste orgel aan een jubileum van pastoor J.J. de Groot. De thans aanwezige banderoltekst herinnert aan het vijfentwintig jarig bestaan van de parochie op 30 september 1896.</w:t>
      </w:r>
    </w:p>
    <w:p>
      <w:pPr>
        <w:pStyle w:val="T1"/>
        <w:jc w:val="start"/>
        <w:rPr>
          <w:lang w:val="nl-NL"/>
        </w:rPr>
      </w:pPr>
      <w:r>
        <w:rPr>
          <w:lang w:val="nl-NL"/>
        </w:rPr>
        <w:t>De registerknoppen voor beide manualen zijn in een horizontale rij boven de lessenaarbak aangebracht, de registertrekker voor de manuaalkoppel bevindt zich rechts van het klavierplankje. De registernamen zijn in gotisch lettertype op porseleinen plaatjes op de knoppen aangebracht. Het bovenklavier heeft ondertoetsen met schuin teruglopende toetsfrontons. In de klavierplank daarboven is in gotisch lettertype de firmasignatuur aangebracht.</w:t>
      </w:r>
    </w:p>
    <w:p>
      <w:pPr>
        <w:pStyle w:val="T1"/>
        <w:jc w:val="start"/>
        <w:rPr>
          <w:lang w:val="nl-NL"/>
        </w:rPr>
      </w:pPr>
      <w:r>
        <w:rPr>
          <w:lang w:val="nl-NL"/>
        </w:rPr>
        <w:t>De magazijnbalg met twee schepbalgen en basculetrede tegen de achterwand bevindt zich in de onderkas.</w:t>
      </w:r>
    </w:p>
    <w:p>
      <w:pPr>
        <w:pStyle w:val="T1"/>
        <w:jc w:val="start"/>
        <w:rPr>
          <w:lang w:val="nl-NL"/>
        </w:rPr>
      </w:pPr>
      <w:r>
        <w:rPr>
          <w:lang w:val="nl-NL"/>
        </w:rPr>
        <w:t>Voor beide manualen is een gecombineerde windlade aanwezig, in hele tonen vanuit het midden aflopend met het NW aan de frontzijde en de C-kant boven de klaviatuur. Voor C-A van de Bourdon 16' is een chromatische hulplade langs de linker zijwand aangebracht. Cis, Fis, G, B en H van de Holpijp 8' staan op een vervoerstok langs de linker zijwand, verder bevinden zich boven de beide lade-uiteinden vervoerstokken voor C-H van de Roerfluit 8'.</w:t>
      </w:r>
    </w:p>
    <w:p>
      <w:pPr>
        <w:pStyle w:val="T1"/>
        <w:jc w:val="start"/>
        <w:rPr/>
      </w:pPr>
      <w:r>
        <w:rPr>
          <w:lang w:val="nl-NL"/>
        </w:rPr>
        <w:t>In het front spreken C-fis van de Prestant 8' HW en C-G van de Salicionaal 4' NW. Gedekt houten pijpwerk is aanwezig voor C-a van de Bourdon 16' en C-H van de Roerfluit 8' HW en de Holpijp 8' NW. De Dolcishimo 8' is van C-H gecombineerd met de Holpijp, c-f</w:t>
      </w:r>
      <w:r>
        <w:rPr>
          <w:vertAlign w:val="superscript"/>
          <w:lang w:val="nl-NL"/>
        </w:rPr>
        <w:t>3</w:t>
      </w:r>
      <w:r>
        <w:rPr>
          <w:lang w:val="nl-NL"/>
        </w:rPr>
        <w:t xml:space="preserve"> zijn flauw trechtervormig. De Viola di Gamba staat geheel op de lade en heeft corpora van een hoog tingehalte met voor C-G rond opgeworpen labia. Van de Roerfluit 4' HW en de Fluit-Dolce 4' NW zijn fis</w:t>
      </w:r>
      <w:r>
        <w:rPr>
          <w:vertAlign w:val="superscript"/>
          <w:lang w:val="nl-NL"/>
        </w:rPr>
        <w:t>2</w:t>
      </w:r>
      <w:r>
        <w:rPr>
          <w:lang w:val="nl-NL"/>
        </w:rPr>
        <w:t>-f</w:t>
      </w:r>
      <w:r>
        <w:rPr>
          <w:vertAlign w:val="superscript"/>
          <w:lang w:val="nl-NL"/>
        </w:rPr>
        <w:t>3</w:t>
      </w:r>
      <w:r>
        <w:rPr>
          <w:lang w:val="nl-NL"/>
        </w:rPr>
        <w:t xml:space="preserve"> conisch, open. Het merendeel van het open pijpwerk is voorzien van expressions: Prestant 8' (geheel), Octaaf 4' (C-f</w:t>
      </w:r>
      <w:r>
        <w:rPr>
          <w:vertAlign w:val="superscript"/>
          <w:lang w:val="nl-NL"/>
        </w:rPr>
        <w:t>2</w:t>
      </w:r>
      <w:r>
        <w:rPr>
          <w:lang w:val="nl-NL"/>
        </w:rPr>
        <w:t>) en Octaaf 2' (C-c</w:t>
      </w:r>
      <w:r>
        <w:rPr>
          <w:vertAlign w:val="superscript"/>
          <w:lang w:val="nl-NL"/>
        </w:rPr>
        <w:t>2</w:t>
      </w:r>
      <w:r>
        <w:rPr>
          <w:lang w:val="nl-NL"/>
        </w:rPr>
        <w:t>; 2 2/3' f-d</w:t>
      </w:r>
      <w:r>
        <w:rPr>
          <w:vertAlign w:val="superscript"/>
          <w:lang w:val="nl-NL"/>
        </w:rPr>
        <w:t>2</w:t>
      </w:r>
      <w:r>
        <w:rPr>
          <w:lang w:val="nl-NL"/>
        </w:rPr>
        <w:t>) HW alsmede Viola di Gamba 8' (geheel); Dolcishimo 8' (c-f</w:t>
      </w:r>
      <w:r>
        <w:rPr>
          <w:vertAlign w:val="superscript"/>
          <w:lang w:val="nl-NL"/>
        </w:rPr>
        <w:t>3</w:t>
      </w:r>
      <w:r>
        <w:rPr>
          <w:lang w:val="nl-NL"/>
        </w:rPr>
        <w:t>) en Salicionaal 4' (C-f</w:t>
      </w:r>
      <w:r>
        <w:rPr>
          <w:vertAlign w:val="superscript"/>
          <w:lang w:val="nl-NL"/>
        </w:rPr>
        <w:t>2</w:t>
      </w:r>
      <w:r>
        <w:rPr>
          <w:lang w:val="nl-NL"/>
        </w:rPr>
        <w:t>) NW. Schuine kastbaarden zijn aanwezig bij Viola di Gamba 8' (C-h</w:t>
      </w:r>
      <w:r>
        <w:rPr>
          <w:vertAlign w:val="superscript"/>
          <w:lang w:val="nl-NL"/>
        </w:rPr>
        <w:t>1</w:t>
      </w:r>
      <w:r>
        <w:rPr>
          <w:lang w:val="nl-NL"/>
        </w:rPr>
        <w:t>, roodkoper) en Dolcishimo 8' (c-f</w:t>
      </w:r>
      <w:r>
        <w:rPr>
          <w:vertAlign w:val="superscript"/>
          <w:lang w:val="nl-NL"/>
        </w:rPr>
        <w:t>1</w:t>
      </w:r>
      <w:r>
        <w:rPr>
          <w:lang w:val="nl-NL"/>
        </w:rPr>
        <w:t>, orgelmetaal). Zijbaarden bij de gedekte metalen pijpen en bij de Prestant 8' (g-f</w:t>
      </w:r>
      <w:r>
        <w:rPr>
          <w:vertAlign w:val="superscript"/>
          <w:lang w:val="nl-NL"/>
        </w:rPr>
        <w:t>1</w:t>
      </w:r>
      <w:r>
        <w:rPr>
          <w:lang w:val="nl-NL"/>
        </w:rPr>
        <w:t>), Octaaf 4' (C-f) en Octaaf 2' (C-F) HW alsmede de Dolcishimo 8' (fis</w:t>
      </w:r>
      <w:r>
        <w:rPr>
          <w:vertAlign w:val="superscript"/>
          <w:lang w:val="nl-NL"/>
        </w:rPr>
        <w:t>1</w:t>
      </w:r>
      <w:r>
        <w:rPr>
          <w:lang w:val="nl-NL"/>
        </w:rPr>
        <w:t>-f</w:t>
      </w:r>
      <w:r>
        <w:rPr>
          <w:vertAlign w:val="superscript"/>
          <w:lang w:val="nl-NL"/>
        </w:rPr>
        <w:t>3</w:t>
      </w:r>
      <w:r>
        <w:rPr>
          <w:lang w:val="nl-NL"/>
        </w:rPr>
        <w:t>) en Salicionaal 4' (C-h</w:t>
      </w:r>
      <w:r>
        <w:rPr>
          <w:vertAlign w:val="superscript"/>
          <w:lang w:val="nl-NL"/>
        </w:rPr>
        <w:t>1</w:t>
      </w:r>
      <w:r>
        <w:rPr>
          <w:lang w:val="nl-NL"/>
        </w:rPr>
        <w:t>) NW.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2008-05-05T13:05:00Z</dcterms:created>
  <dc:creator>WS1</dc:creator>
  <dc:description/>
  <dc:language>en-US</dc:language>
  <cp:lastModifiedBy>NIvO</cp:lastModifiedBy>
  <cp:lastPrinted>2007-06-07T09:40:00Z</cp:lastPrinted>
  <dcterms:modified xsi:type="dcterms:W3CDTF">2008-05-13T09:51:00Z</dcterms:modified>
  <cp:revision>3</cp:revision>
  <dc:subject/>
  <dc:title>Olst / 1880</dc:title>
</cp:coreProperties>
</file>